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4"/>
        <w:pBdr/>
        <w:spacing/>
        <w:ind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Департамент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развития дорожной инфраструктуры и транспорта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информирует о проведении отбора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получателей субсидий в целях возмещения недополученных доходов в связи с предоставлением льготного проезда                     к дачным и садово-огородным участкам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выходные и праздничные дни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844"/>
        <w:pBdr/>
        <w:spacing/>
        <w:ind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Департамент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развития дорожной инфраструктуры и транспорта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Старооскольского городского округа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Департамент)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объявляет о проведении отбора получателей субсидий в форме запроса предложений на получение субсидии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юридическими лицами, индивидуальными предпринимателями в целях возмещения недополученных доходов в связи с предоставлением льготного проезда к дачным и садово-огородным участкам в выходные и праздничные дни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году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44"/>
        <w:pBdr/>
        <w:spacing/>
        <w:ind w:right="0" w:firstLine="709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Сроки проведения отбора</w:t>
      </w:r>
      <w:r>
        <w:rPr>
          <w:rFonts w:ascii="Times New Roman" w:hAnsi="Times New Roman" w:cs="Times New Roman"/>
          <w:sz w:val="26"/>
          <w:szCs w:val="26"/>
        </w:rPr>
        <w:t xml:space="preserve">: заявки на участие в отборе принимаются ежедн</w:t>
      </w:r>
      <w:r>
        <w:rPr>
          <w:rFonts w:ascii="Times New Roman" w:hAnsi="Times New Roman" w:cs="Times New Roman"/>
          <w:sz w:val="26"/>
          <w:szCs w:val="26"/>
        </w:rPr>
        <w:t xml:space="preserve">евно с</w:t>
      </w:r>
      <w:r>
        <w:rPr>
          <w:rFonts w:ascii="Times New Roman" w:hAnsi="Times New Roman" w:cs="Times New Roman"/>
          <w:sz w:val="26"/>
          <w:szCs w:val="26"/>
        </w:rPr>
        <w:t xml:space="preserve"> 24 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hAnsi="Times New Roman" w:cs="Times New Roman"/>
          <w:sz w:val="26"/>
          <w:szCs w:val="26"/>
        </w:rPr>
        <w:t xml:space="preserve">29 марта 2025</w:t>
      </w:r>
      <w:r>
        <w:rPr>
          <w:rFonts w:ascii="Times New Roman" w:hAnsi="Times New Roman" w:cs="Times New Roman"/>
          <w:sz w:val="26"/>
          <w:szCs w:val="26"/>
        </w:rPr>
        <w:t xml:space="preserve"> года (включительно) с 9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00 часов до </w:t>
      </w:r>
      <w:r>
        <w:rPr>
          <w:rFonts w:ascii="Times New Roman" w:hAnsi="Times New Roman" w:cs="Times New Roman"/>
          <w:sz w:val="26"/>
          <w:szCs w:val="26"/>
        </w:rPr>
        <w:t xml:space="preserve">13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00 часов и с 14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00 часов до 18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00 часов, суббот</w:t>
      </w:r>
      <w:r>
        <w:rPr>
          <w:rFonts w:ascii="Times New Roman" w:hAnsi="Times New Roman" w:cs="Times New Roman"/>
          <w:sz w:val="26"/>
          <w:szCs w:val="26"/>
        </w:rPr>
        <w:t xml:space="preserve">а и воскресенье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afterAutospacing="0" w:line="240" w:lineRule="auto"/>
        <w:ind w:right="0" w:firstLine="709"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Bdr/>
        <w:spacing w:line="240" w:lineRule="auto"/>
        <w:ind w:right="0" w:firstLine="709"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Место нахождения: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309514, Белгородская область, г. Старый Оскол, улица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Ленина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utisso@so.belregion.ru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Результат предоставления субсидии: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удовлетворение качеством обслуживания населения по перевозке к дачным и садово-огородным участкам в выходные и праздничные дни и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возмещение юридическим лицам, индивидуальным предпринимателям недополученных доходов в связи с предоставлением льготного проезда к дачным и садово-огородным участкам в выходные и праздничные дни в целях реализации пок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азателей муниципальной программы «Содержание дорожного хозяйства, организация транспортного обслуживания населения Старооскольского городского округа»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Bdr/>
        <w:spacing w:after="0" w:afterAutospacing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Д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оменное имя и (или) указатель страниц в сети Интернет, на котором обеспечивается проведение отбора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Bdr/>
        <w:spacing w:after="0" w:afterAutospacing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Официальный сайт органов местного самоуправления Старооскольского городского округа в сети «Интернет» (oskolregion.gosuslugi.ru), раздел «Деятельность» - «Транспортное обслуживание» - «Информационные материалы».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</w:rPr>
        <w:t xml:space="preserve">Требования к участникам отбора, которым должен соответствовать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</w:rPr>
        <w:t xml:space="preserve">участник отбора по состоянию на текущую дату месяца,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</w:rPr>
        <w:t xml:space="preserve">в котором планируется проведение отбора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1. 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совокупности превышает 25 процентов (если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изованное через участие в капитале указанных публичных акционерных обществ;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2. Участник отбора не находится в перечне организаций и физических лиц,            в отношении которых имеются сведения об их причастности к экстремистской деятельности или терроризму;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3. Участник отбора не находится в составляемых в рамках реализации полномочий, предусмотренных </w:t>
      </w:r>
      <w:hyperlink r:id="rId10" w:tooltip="file:///run/user/1001/fly-fm-vfs/smb/10.67.43.20/transport/%D0%9F%D0%9E%D0%9F%D0%9E%D0%92%D0%90/C:/Users/user/%D0%97%D0%B0%D0%B3%D1%80%D1%83%D0%B7%D0%BA%D0%B8/20.12.1971)%7B%D0%9A%D0%BE%D0%BD%D1%81%D1%83%D0%BB%D1%8C%D1%82%D0%B0%D0%BD%D1%82%D0%9F%D0%BB%D1%8E%D1%81%7D" w:history="1">
        <w:r>
          <w:rPr>
            <w:rStyle w:val="819"/>
            <w:rFonts w:ascii="Times New Roman" w:hAnsi="Times New Roman" w:eastAsia="Times New Roman" w:cs="Times New Roman"/>
            <w:color w:val="0000ff"/>
            <w:sz w:val="26"/>
            <w:u w:val="single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color w:val="000000"/>
          <w:sz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ия;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4. Участник отбора не получает средства из бюджета городского округа                 на основании муниципальных правовых актов на цели, установленные настоящим Порядком;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5. Участник отбора не является иностранным агентом в соответствии                      с Федеральным </w:t>
      </w:r>
      <w:hyperlink r:id="rId11" w:tooltip="https://login.consultant.ru/link/?req=doc&amp;base=LAW&amp;n=493204&amp;date=15.01.2025" w:history="1">
        <w:r>
          <w:rPr>
            <w:rStyle w:val="819"/>
            <w:rFonts w:ascii="Times New Roman" w:hAnsi="Times New Roman" w:eastAsia="Times New Roman" w:cs="Times New Roman"/>
            <w:color w:val="0000ff"/>
            <w:sz w:val="26"/>
            <w:u w:val="singl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/>
          <w:sz w:val="26"/>
        </w:rPr>
        <w:t xml:space="preserve"> от 14 июля 2022 года № 255-ФЗ «О контроле                            за деятельностью лиц, находящихся под иностранным влиянием»;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6. У участника отбора на едином налоговом счете отсутствует или                         не превышает размер, определенный </w:t>
      </w:r>
      <w:hyperlink r:id="rId12" w:tooltip="file:///run/user/1001/fly-fm-vfs/smb/10.67.43.20/transport/%D0%9F%D0%9E%D0%9F%D0%9E%D0%92%D0%90/C:/Users/user/%D0%97%D0%B0%D0%B3%D1%80%D1%83%D0%B7%D0%BA%D0%B8/29.11.2024)%7B%D0%9A%D0%BE%D0%BD%D1%81%D1%83%D0%BB%D1%8C%D1%82%D0%B0%D0%BD%D1%82%D0%9F%D0%BB%D1%8E%D1%81%7D" w:history="1">
        <w:r>
          <w:rPr>
            <w:rStyle w:val="819"/>
            <w:rFonts w:ascii="Times New Roman" w:hAnsi="Times New Roman" w:eastAsia="Times New Roman" w:cs="Times New Roman"/>
            <w:color w:val="0000ff"/>
            <w:sz w:val="26"/>
            <w:u w:val="single"/>
          </w:rPr>
          <w:t xml:space="preserve">пунктом 3 статьи 47</w:t>
        </w:r>
      </w:hyperlink>
      <w:r>
        <w:rPr>
          <w:rFonts w:ascii="Times New Roman" w:hAnsi="Times New Roman" w:eastAsia="Times New Roman" w:cs="Times New Roman"/>
          <w:color w:val="000000"/>
          <w:sz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7. У участника отбора отсутствуют просроченная задолженность по возврату в бюджет Старооскольского городского округа, а также иная просроченная (неурегулированная) задолженность по денежным обязательствам перед бюджетом Старооскольского городского округа;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8. Участник отб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ора, являющийся юридическим лицом, не находится 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предпринимателя;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9. В реестре дисквалифицирова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нных лиц отсутствуют сведения                             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ора.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line="240" w:lineRule="auto"/>
        <w:ind w:firstLine="708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</w:rPr>
        <w:t xml:space="preserve">Критерии отбора получателей субсидий, имеющих право на получение субсидии из бюджета городского округа</w:t>
      </w:r>
      <w:r>
        <w:rPr>
          <w:b/>
          <w:bCs/>
        </w:rPr>
      </w:r>
      <w:r>
        <w:rPr>
          <w:b/>
          <w:bCs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Заключенный муниципальный контракт на выполнение работ, связанных  с осуществлением регулярных перевозок пассажиров и багажа автомобильным транспортом по регулируемым тарифам, с администрацией Старооскольского городского округа, в порядке, установленном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Федерального закона от 13 июля 2015 года № 220-ФЗ «Об организации регулярных перевозо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2. Осущес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твление деятельности по перевозке пассажиров по пригородным автобусным маршрутам, включенным в реестр маршрутов регулярных перевозок, организованных администрацией Старооскольского городского округа, к дачным          и садово-огородным участкам в выходные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и праздничные дни.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841"/>
        <w:pBdr/>
        <w:tabs>
          <w:tab w:val="left" w:leader="none" w:pos="0"/>
          <w:tab w:val="left" w:leader="none" w:pos="993"/>
        </w:tabs>
        <w:spacing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</w:r>
      <w:r>
        <w:rPr>
          <w:rFonts w:ascii="Times New Roman" w:hAnsi="Times New Roman" w:cs="Times New Roman"/>
          <w:color w:val="ff0000"/>
          <w:sz w:val="26"/>
          <w:szCs w:val="26"/>
        </w:rPr>
      </w:r>
      <w:r>
        <w:rPr>
          <w:rFonts w:ascii="Times New Roman" w:hAnsi="Times New Roman" w:cs="Times New Roman"/>
          <w:color w:val="ff0000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  <w:t xml:space="preserve">Порядок подачи заявок и требования,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  <w:t xml:space="preserve">предъявляемые к форме и содержанию заявок</w:t>
      </w:r>
      <w:r>
        <w:rPr>
          <w:b/>
          <w:bCs/>
        </w:rPr>
      </w:r>
      <w:r>
        <w:rPr>
          <w:b/>
          <w:bCs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Для получени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я субсидии участники отбора в сроки, установленные в объявлении, представляют заявку на участие в отборе (далее - заявка) согласно приложению 1 в Объявлении с комплектом документов, соответствующую следующим требо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ваниям: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 заявка представляется на бумажном носителе;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порядок нумерации документов в заявке должен соответствовать порядку их перечисления в пункте 2.6 настоящего Порядка;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заявка должна быть прошита, пронумерована, заверена подписью руководителя (уполномоченного представителя) участника отбора и скреплена печатью (при наличии).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заявке прикладываются следующие документы: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документ, подтверждающий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полномочия лица на осуществление действий от имени участника отбора - юридического лица (копия решения о назначении                или об избрании либо приказа о назначении физического лица на должность,             в соответствии с котором такое физическо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е лицо обладает правом действовать              от имени участника отбора без доверенности (далее - руководитель участника отбора).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В случае если от имени участника отбора действует иное лицо, прилагается доверенность на осуществление действий от имени участника отбора, заверенная печатью участника отбора (при наличии печати) и подписанная руководителем участника отбора (для юридически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х лиц) или уполномоченным этим руководителем, либо нотариально удостоверенная доверенность от физического лица, либо нотариально заверенная копия такой доверенности. В случае если указанная доверенность подписана лицом, уполномоченным руководителем участни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ка отбора, прилагается документ, подтверждающий полномочия такого лица;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справку, выданную налоговым органом, по состоянию на день не ранее чем за 30 (тридцать) календарных дней до дня подачи заявки на участие в отборе, подтверждающую, что у участника отбора отсутствует на едином налоговом счете или не превышает размер, опред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справку, подписанн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ую руководителем и главным бухгалтером (при наличии) участника отбора, подтверждающую отсутствие у участника отбора просроченной задолженности по возврату в бюджет городского округа субсидий, бюджетных инвестиций, предоставленных, в том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числе, в соответствии с иными нормативными правовыми актами, и иной просроченной (неурегулированной) задолженности перед бюджетом Старооскольского городского округа;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справку, подписанную р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уководителем и главным бухгалтером                         (при наличии) участника отбора, подтверждающую,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е в утверждаемый Министер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рого доля прямого или косвенного (через третьих лиц) участия офшорных компаний в совокупности превышает 25 (двадцать пять) процентов (если иное не предусмотрено законодательством Российской Федерации);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справку, подписанную руководителем и главным бухгалтером      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               (при наличии) участника отбора, подтверждающую, что участник отбора                       не получает средства из бюджета Старооскольского городского округа                      в соответствии с иными муниципальными правовыми актами органов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местного самоуправления Старооскольского городского округа на цели, указанные в пункте 1.2 настоящего Порядка, по состоянию на дату не ранее чем за 30 (тридцать) календарных дней до начала приема заявок;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справку, подп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исанную руководителем и главным бухгалтером (при наличии) участника отбора, подтверждающая, что участник отбора на текущую дату не находится в процессе реорганизации (за исключением реорганизации                в форме присоединения к юридическому лицу, яв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ляющемуся участником отбора, другого юридического лица), ликвидации, в отношении его введена процедура банкротства, деятельность участника отбора не приостановлена в порядке, предусмотренном законодательством Российского Федерации;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письмо, подписанное руководителем и главным бухгалтером (при наличии) участника отбора, по состоянию на текущую дату, подтверждающее, что участник отбора не находится в перечне организаций, в отношении которых имеются сведения об их причастности к экстре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мистской деятельности или терроризму,          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    не находится в составляемых в рамках реализации полномочий, предусмотренных главой VII Устава ООН, Советом Безопасности ООН, перечнях организаций, связанных с террористическими организациями и террористами или                                  с распро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странением оружия массового уничтожения, не является иностранным агентом в соответствии с Федеральным законом от 14 июля 2022 года                       № 255-ФЗ «О контроле за деятельностью лиц, находящихся под иностранным влиянием»;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выписку из Единого государственного реестра юридических лиц, индивидуальных предпринимателей по стоянию на дату подачи заявки;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выписку из реестра дисквалифицированных лиц, подтверждающую отсутствие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наличии) участника отбора, по состоянию на дату не ранее чем за 30 (тридцать) календарных дней до начала приема заявок.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копии учредительных документов, заверенные подписью руководителя участника отбора и печатью (при наличии);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копии свидетельств о государственной регистрации юридического лица, индивидуального предпринимателя и постановке на учет в налоговом органе, заверенные подписью руководителя участника отбора и печатью (при наличии);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копии муниципальных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контрактов на выполнение работ, связанных                       с осуществлением регулярных перевозок пассажиров и багажа автомобильным транспортом по регулируемым тарифам по пригородным автобусным маршрутам к дачным и садово-огородным участкам, заключенны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х с администрацией Старооскольского городского округа;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копию договора, заключенного с банком-эквайером.</w:t>
      </w:r>
      <w:r/>
    </w:p>
    <w:p>
      <w:pPr>
        <w:pStyle w:val="844"/>
        <w:pBdr/>
        <w:spacing/>
        <w: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  <w:t xml:space="preserve">Порядок отзыва, возврата заявок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  <w:t xml:space="preserve">и внесение изменений в заявки</w:t>
      </w:r>
      <w:r>
        <w:rPr>
          <w:b/>
          <w:bCs/>
        </w:rPr>
      </w:r>
      <w:r>
        <w:rPr>
          <w:b/>
          <w:bCs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Участник отбора вправе в любое время отозвать поданную заявку, направив соответствующее предложение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Департамент </w:t>
      </w:r>
      <w:r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309514, Белгородская область, г. Старый Оскол, улица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Ленина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кабинет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Основание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м для возврата заявки является поступление в течение срока проведения отбора от участника отбора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Департамент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обращения об отзыве заявки. Отозванная участником отбора заявка возвращается </w:t>
      </w:r>
      <w:r>
        <w:rPr>
          <w:rFonts w:ascii="Times New Roman" w:hAnsi="Times New Roman" w:cs="Times New Roman"/>
          <w:sz w:val="26"/>
          <w:szCs w:val="26"/>
        </w:rPr>
        <w:t xml:space="preserve">Департамент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ом в течение 2 (двух) рабочих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дней со дня поступления соответствующего обращения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Департамент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Участник отбора вправе в течение срока проведения отбора внести изменения в поданную заявку, направив уточненную заявку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Департамент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309514, Белгородская область, г. Старый Оскол, улица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Ленина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кабинет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844"/>
        <w:pBdr/>
        <w:spacing/>
        <w:ind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Правила рассмотрения и оценки заявок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Документы, поступившие в Департамент, регистрируются в журнале регистрации в срок не позднее дня, следующего за днем их поступления.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После истечения срока для приема заявок Департамент направляет поступившие заявки и документы в комиссию по рассмотрению и оценке заявок (далее – комиссия).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Комиссия состоит из председателя, заместителя председателя и членов комиссии. Состав комиссии утверждается распоряжением администрации Старооскольского городского округа.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Максимальный срок рассмотрения заявок и представленных документов комиссией не может превышать 30 (тридцать) календарных дней с момента истечения срока для приема заявок.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Решение комиссии оформляется протоколом, который направляется в Департамент для определения победителя (победителей) отбора.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Решение Департамента о победителях отбора оформляется протоколом в течение 5 (пяти) рабочих дней с даты принятия соответствующего решения.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Порядок возврата заявок на доработку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В случае выявл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ения положений заявки, нуждающихся в доработке, Департамент принимает решение о возврате заявки и направляет участнику отбора уведомление в течение 1 (одного) рабочего дня со дня принятия решения с указанием положений заявки, нуждаю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щихся в доработке.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Участник отбора в течение срока проведения отбора вправе представить в Департамент доработанную заявку.</w:t>
      </w:r>
      <w:r/>
    </w:p>
    <w:p>
      <w:pPr>
        <w:pStyle w:val="844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  <w:t xml:space="preserve">Порядок отклонения заявок,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  <w:t xml:space="preserve">а также информация об основных их отклонениях</w:t>
      </w:r>
      <w:r>
        <w:rPr>
          <w:b/>
          <w:bCs/>
        </w:rPr>
      </w:r>
      <w:r>
        <w:rPr>
          <w:b/>
          <w:bCs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Основаниями для отклонения комиссией заявки участника отбора на стадии рассмотрения и оценки являются: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а) несоответствие участника отбора требованиям, установленным пунктом 2.4 и 2.7 настоящего Порядка;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б) несоответствие представленных участником отбора заявок и (или) документов требованиям, установленным в объявлении о проведении отбора;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в) 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г) непредставление (представление не в полном объеме) документов, указанных в объявлении о проведении отбора;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д) подача участником отбора заявки после даты и (или) времени, определенных для подачи заявок.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844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4"/>
        <w:pBdr/>
        <w:spacing/>
        <w:ind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Объем распределяемой субсидии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Размер субсидии, предоставляемой получателю субсидии в текущем финансовом году из бюджета городского округа, рассчитывается по формуле: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142" w:left="0"/>
        <w:jc w:val="center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С =К</w:t>
      </w:r>
      <w:r>
        <w:rPr>
          <w:rFonts w:ascii="Times New Roman" w:hAnsi="Times New Roman" w:eastAsia="Times New Roman" w:cs="Times New Roman"/>
          <w:color w:val="000000"/>
          <w:sz w:val="26"/>
          <w:vertAlign w:val="subscript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xTx Р</w:t>
      </w:r>
      <w:r>
        <w:rPr>
          <w:rFonts w:ascii="Times New Roman" w:hAnsi="Times New Roman" w:eastAsia="Times New Roman" w:cs="Times New Roman"/>
          <w:color w:val="000000"/>
          <w:sz w:val="26"/>
          <w:vertAlign w:val="subscript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,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где: С - размер субсидии, рублей;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Кп - количество поездок пассажиров, фактически выполненных                       с использованием льготного проезда за отчетный период;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Т - установленный тариф за проезд по обслуживаемому муниципальному маршруту;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Рл - размер льготы, установленный постановлением администрации Старооскольского городского округа.</w:t>
      </w:r>
      <w:r/>
    </w:p>
    <w:p>
      <w:pPr>
        <w:pBdr/>
        <w:spacing w:line="240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Порядок предоставления участникам отбора 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разъяснений положений объявления о проведении отбора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Участник отбора в п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ериод срока подачи заявок вправе обратиться                    в Департамент с письменным заявлением о разъяснении условий объявления о проведении отбора. Департамент направляет письменные разъяснения такому участнику отбора в течение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3 (трех) рабочих дней со дня регистрации заявления о разъяснении условий объявления о проведении отбора.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  <w:t xml:space="preserve">Срок, в течение которого победитель отбора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  <w:t xml:space="preserve">должен подписать соглашение о предоставлении субсидии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Получатель субсидии в течение 2 (двух) рабочих дней со дня получения уведомления о необходимости подписания Соглашения подписывает Соглашение    в двух экземплярах.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lef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Условия признания победителя отбора уклонившимися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от заключения Соглашения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случае если получателем субсидии в течение 2 (двух) рабочих дней       со дня получения уведомления о необходимости подписания Соглашения Соглашение не подписано, Главным распорядителем принимается решение о признании соответствующего победителя (победите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ле) отбора уклонившимся (уклонившимися) от подписания Соглашения.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highlight w:val="none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  <w:t xml:space="preserve">Срок размещения протокола подведения итогов отбора</w:t>
      </w:r>
      <w:r>
        <w:rPr>
          <w:rFonts w:ascii="Times New Roman" w:hAnsi="Times New Roman" w:eastAsia="Times New Roman" w:cs="Times New Roman"/>
          <w:color w:val="000000"/>
          <w:sz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Результаты отбора размещаются на едином портале бюджетной системы Российской Федерации (budget.gov.ru), на официальном сайте органов местного самоуправления Старооскольского городского округа в сети Интернет (oskolregion.gosuslugi.ru) не позднее 14-го кале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ндарного дня, следующего за днем определения победителя отбора, с указанием следующей информации: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0" w:left="703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даты, времени и места проведения рассмотрения заявок;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0" w:left="703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информации об участниках отбора. Заявках, которые были рассмотрены;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3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информации об участниках отбора, заявки которых были отклонены,                   с указанием причин их отклонения, в том числе положений объявления о проведении отбора, которым не соответствуют заявки;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3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 наименование получателя (получателей) субсидии, с которыми заключается Соглашение.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righ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righ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09" w:left="0"/>
        <w:jc w:val="righ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highlight w:val="none"/>
        </w:rPr>
        <w:t xml:space="preserve">24 марта 2025 года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b/>
        <w:bCs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260"/>
      </w:pPr>
      <w:rPr>
        <w:b w:val="0"/>
        <w:bCs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40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80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160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700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2880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3420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3600"/>
      </w:pPr>
      <w:rPr/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7"/>
    <w:uiPriority w:val="34"/>
    <w:qFormat/>
    <w:pPr>
      <w:pBdr/>
      <w:spacing/>
      <w:ind w:left="720"/>
      <w:contextualSpacing w:val="true"/>
    </w:pPr>
  </w:style>
  <w:style w:type="paragraph" w:styleId="679">
    <w:name w:val="Title"/>
    <w:basedOn w:val="837"/>
    <w:next w:val="837"/>
    <w:link w:val="68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pPr>
      <w:pBdr/>
      <w:spacing/>
      <w:ind/>
    </w:pPr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pPr>
      <w:pBdr/>
      <w:spacing/>
      <w:ind/>
    </w:pPr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pBdr/>
      <w:spacing/>
      <w:ind w:right="720" w:left="720"/>
    </w:pPr>
    <w:rPr>
      <w:i/>
    </w:rPr>
  </w:style>
  <w:style w:type="character" w:styleId="684">
    <w:name w:val="Quote Char"/>
    <w:link w:val="683"/>
    <w:uiPriority w:val="29"/>
    <w:pPr>
      <w:pBdr/>
      <w:spacing/>
      <w:ind/>
    </w:pPr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6">
    <w:name w:val="Intense Quote Char"/>
    <w:link w:val="685"/>
    <w:uiPriority w:val="30"/>
    <w:pPr>
      <w:pBdr/>
      <w:spacing/>
      <w:ind/>
    </w:pPr>
    <w:rPr>
      <w:i/>
    </w:rPr>
  </w:style>
  <w:style w:type="paragraph" w:styleId="687">
    <w:name w:val="Header"/>
    <w:basedOn w:val="837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8">
    <w:name w:val="Header Char"/>
    <w:basedOn w:val="838"/>
    <w:link w:val="687"/>
    <w:uiPriority w:val="99"/>
    <w:pPr>
      <w:pBdr/>
      <w:spacing/>
      <w:ind/>
    </w:pPr>
  </w:style>
  <w:style w:type="paragraph" w:styleId="689">
    <w:name w:val="Footer"/>
    <w:basedOn w:val="837"/>
    <w:link w:val="69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0">
    <w:name w:val="Footer Char"/>
    <w:basedOn w:val="838"/>
    <w:link w:val="689"/>
    <w:uiPriority w:val="99"/>
    <w:pPr>
      <w:pBdr/>
      <w:spacing/>
      <w:ind/>
    </w:pPr>
  </w:style>
  <w:style w:type="paragraph" w:styleId="691">
    <w:name w:val="Caption"/>
    <w:basedOn w:val="837"/>
    <w:next w:val="83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  <w:pPr>
      <w:pBdr/>
      <w:spacing/>
      <w:ind/>
    </w:pPr>
  </w:style>
  <w:style w:type="table" w:styleId="693">
    <w:name w:val="Table Grid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Table Grid Light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1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2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1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2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3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5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6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1">
    <w:name w:val="Footnote Text Char"/>
    <w:link w:val="820"/>
    <w:uiPriority w:val="99"/>
    <w:pPr>
      <w:pBdr/>
      <w:spacing/>
      <w:ind/>
    </w:pPr>
    <w:rPr>
      <w:sz w:val="18"/>
    </w:rPr>
  </w:style>
  <w:style w:type="character" w:styleId="822">
    <w:name w:val="footnote reference"/>
    <w:basedOn w:val="838"/>
    <w:uiPriority w:val="99"/>
    <w:unhideWhenUsed/>
    <w:pPr>
      <w:pBdr/>
      <w:spacing/>
      <w:ind/>
    </w:pPr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4">
    <w:name w:val="Endnote Text Char"/>
    <w:link w:val="823"/>
    <w:uiPriority w:val="99"/>
    <w:pPr>
      <w:pBdr/>
      <w:spacing/>
      <w:ind/>
    </w:pPr>
    <w:rPr>
      <w:sz w:val="20"/>
    </w:rPr>
  </w:style>
  <w:style w:type="character" w:styleId="825">
    <w:name w:val="end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pBdr/>
      <w:spacing w:after="57"/>
      <w:ind w:right="0" w:firstLine="0" w:left="0"/>
    </w:pPr>
  </w:style>
  <w:style w:type="paragraph" w:styleId="827">
    <w:name w:val="toc 2"/>
    <w:basedOn w:val="837"/>
    <w:next w:val="837"/>
    <w:uiPriority w:val="39"/>
    <w:unhideWhenUsed/>
    <w:pPr>
      <w:pBdr/>
      <w:spacing w:after="57"/>
      <w:ind w:right="0" w:firstLine="0" w:left="283"/>
    </w:pPr>
  </w:style>
  <w:style w:type="paragraph" w:styleId="828">
    <w:name w:val="toc 3"/>
    <w:basedOn w:val="837"/>
    <w:next w:val="837"/>
    <w:uiPriority w:val="39"/>
    <w:unhideWhenUsed/>
    <w:pPr>
      <w:pBdr/>
      <w:spacing w:after="57"/>
      <w:ind w:right="0" w:firstLine="0" w:left="567"/>
    </w:pPr>
  </w:style>
  <w:style w:type="paragraph" w:styleId="829">
    <w:name w:val="toc 4"/>
    <w:basedOn w:val="837"/>
    <w:next w:val="837"/>
    <w:uiPriority w:val="39"/>
    <w:unhideWhenUsed/>
    <w:pPr>
      <w:pBdr/>
      <w:spacing w:after="57"/>
      <w:ind w:right="0" w:firstLine="0" w:left="850"/>
    </w:pPr>
  </w:style>
  <w:style w:type="paragraph" w:styleId="830">
    <w:name w:val="toc 5"/>
    <w:basedOn w:val="837"/>
    <w:next w:val="837"/>
    <w:uiPriority w:val="39"/>
    <w:unhideWhenUsed/>
    <w:pPr>
      <w:pBdr/>
      <w:spacing w:after="57"/>
      <w:ind w:right="0" w:firstLine="0" w:left="1134"/>
    </w:pPr>
  </w:style>
  <w:style w:type="paragraph" w:styleId="831">
    <w:name w:val="toc 6"/>
    <w:basedOn w:val="837"/>
    <w:next w:val="837"/>
    <w:uiPriority w:val="39"/>
    <w:unhideWhenUsed/>
    <w:pPr>
      <w:pBdr/>
      <w:spacing w:after="57"/>
      <w:ind w:right="0" w:firstLine="0" w:left="1417"/>
    </w:pPr>
  </w:style>
  <w:style w:type="paragraph" w:styleId="832">
    <w:name w:val="toc 7"/>
    <w:basedOn w:val="837"/>
    <w:next w:val="837"/>
    <w:uiPriority w:val="39"/>
    <w:unhideWhenUsed/>
    <w:pPr>
      <w:pBdr/>
      <w:spacing w:after="57"/>
      <w:ind w:right="0" w:firstLine="0" w:left="1701"/>
    </w:pPr>
  </w:style>
  <w:style w:type="paragraph" w:styleId="833">
    <w:name w:val="toc 8"/>
    <w:basedOn w:val="837"/>
    <w:next w:val="837"/>
    <w:uiPriority w:val="39"/>
    <w:unhideWhenUsed/>
    <w:pPr>
      <w:pBdr/>
      <w:spacing w:after="57"/>
      <w:ind w:right="0" w:firstLine="0" w:left="1984"/>
    </w:pPr>
  </w:style>
  <w:style w:type="paragraph" w:styleId="834">
    <w:name w:val="toc 9"/>
    <w:basedOn w:val="837"/>
    <w:next w:val="837"/>
    <w:uiPriority w:val="39"/>
    <w:unhideWhenUsed/>
    <w:pPr>
      <w:pBdr/>
      <w:spacing w:after="57"/>
      <w:ind w:right="0" w:firstLine="0" w:left="2268"/>
    </w:pPr>
  </w:style>
  <w:style w:type="paragraph" w:styleId="835">
    <w:name w:val="TOC Heading"/>
    <w:uiPriority w:val="39"/>
    <w:unhideWhenUsed/>
    <w:pPr>
      <w:pBdr/>
      <w:spacing/>
      <w:ind/>
    </w:pPr>
  </w:style>
  <w:style w:type="paragraph" w:styleId="836">
    <w:name w:val="table of figures"/>
    <w:basedOn w:val="837"/>
    <w:next w:val="837"/>
    <w:uiPriority w:val="99"/>
    <w:unhideWhenUsed/>
    <w:pPr>
      <w:pBdr/>
      <w:spacing w:after="0" w:afterAutospacing="0"/>
      <w:ind/>
    </w:pPr>
  </w:style>
  <w:style w:type="paragraph" w:styleId="837" w:default="1">
    <w:name w:val="Normal"/>
    <w:qFormat/>
    <w:pPr>
      <w:pBdr/>
      <w:spacing/>
      <w:ind/>
    </w:pPr>
  </w:style>
  <w:style w:type="character" w:styleId="838" w:default="1">
    <w:name w:val="Default Paragraph Font"/>
    <w:uiPriority w:val="1"/>
    <w:semiHidden/>
    <w:unhideWhenUsed/>
    <w:pPr>
      <w:pBdr/>
      <w:spacing/>
      <w:ind/>
    </w:pPr>
  </w:style>
  <w:style w:type="table" w:styleId="83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paragraph" w:styleId="841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paragraph" w:styleId="842">
    <w:name w:val="Body Text"/>
    <w:basedOn w:val="837"/>
    <w:link w:val="843"/>
    <w:uiPriority w:val="1"/>
    <w:qFormat/>
    <w:pPr>
      <w:widowControl w:val="false"/>
      <w:pBdr/>
      <w:spacing w:after="0" w:line="240" w:lineRule="auto"/>
      <w:ind w:firstLine="720" w:left="13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3" w:customStyle="1">
    <w:name w:val="Основной текст Знак"/>
    <w:basedOn w:val="838"/>
    <w:link w:val="842"/>
    <w:uiPriority w:val="1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No Spacing"/>
    <w:uiPriority w:val="1"/>
    <w:qFormat/>
    <w:pPr>
      <w:pBdr/>
      <w:spacing w:after="0" w:line="240" w:lineRule="auto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file:///run/user/1001/fly-fm-vfs/smb/10.67.43.20/transport/%D0%9F%D0%9E%D0%9F%D0%9E%D0%92%D0%90/C:/Users/user/%D0%97%D0%B0%D0%B3%D1%80%D1%83%D0%B7%D0%BA%D0%B8/20.12.1971)%7B%D0%9A%D0%BE%D0%BD%D1%81%D1%83%D0%BB%D1%8C%D1%82%D0%B0%D0%BD%D1%82%D0%9F%D0%BB%D1%8E%D1%81%7D" TargetMode="External"/><Relationship Id="rId11" Type="http://schemas.openxmlformats.org/officeDocument/2006/relationships/hyperlink" Target="https://login.consultant.ru/link/?req=doc&amp;base=LAW&amp;n=493204&amp;date=15.01.2025" TargetMode="External"/><Relationship Id="rId12" Type="http://schemas.openxmlformats.org/officeDocument/2006/relationships/hyperlink" Target="file:///run/user/1001/fly-fm-vfs/smb/10.67.43.20/transport/%D0%9F%D0%9E%D0%9F%D0%9E%D0%92%D0%90/C:/Users/user/%D0%97%D0%B0%D0%B3%D1%80%D1%83%D0%B7%D0%BA%D0%B8/29.11.2024)%7B%D0%9A%D0%BE%D0%BD%D1%81%D1%83%D0%BB%D1%8C%D1%82%D0%B0%D0%BD%D1%82%D0%9F%D0%BB%D1%8E%D1%81%7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B958-3551-4C4D-B32E-5909730C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Фарафонова Юлия</dc:creator>
  <cp:revision>6</cp:revision>
  <dcterms:created xsi:type="dcterms:W3CDTF">2024-03-28T07:05:00Z</dcterms:created>
  <dcterms:modified xsi:type="dcterms:W3CDTF">2025-03-20T13:32:34Z</dcterms:modified>
</cp:coreProperties>
</file>