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C91" w:rsidRDefault="00CB3C91">
      <w:pPr>
        <w:pStyle w:val="ConsPlusTitlePage"/>
      </w:pPr>
      <w:r>
        <w:br/>
      </w:r>
    </w:p>
    <w:p w:rsidR="00CB3C91" w:rsidRDefault="00CB3C91">
      <w:pPr>
        <w:pStyle w:val="ConsPlusNormal"/>
        <w:outlineLvl w:val="0"/>
      </w:pPr>
    </w:p>
    <w:p w:rsidR="00CB3C91" w:rsidRDefault="00CB3C91">
      <w:pPr>
        <w:pStyle w:val="ConsPlusTitle"/>
        <w:jc w:val="center"/>
        <w:outlineLvl w:val="0"/>
      </w:pPr>
      <w:r>
        <w:t>ПРАВИТЕЛЬСТВО БЕЛГОРОДСКОЙ ОБЛАСТИ</w:t>
      </w:r>
    </w:p>
    <w:p w:rsidR="00CB3C91" w:rsidRDefault="00CB3C91">
      <w:pPr>
        <w:pStyle w:val="ConsPlusTitle"/>
        <w:jc w:val="center"/>
      </w:pPr>
    </w:p>
    <w:p w:rsidR="00CB3C91" w:rsidRDefault="00CB3C91">
      <w:pPr>
        <w:pStyle w:val="ConsPlusTitle"/>
        <w:jc w:val="center"/>
      </w:pPr>
      <w:r>
        <w:t>РАСПОРЯЖЕНИЕ</w:t>
      </w:r>
    </w:p>
    <w:p w:rsidR="00CB3C91" w:rsidRDefault="00CB3C91">
      <w:pPr>
        <w:pStyle w:val="ConsPlusTitle"/>
        <w:jc w:val="center"/>
      </w:pPr>
      <w:r>
        <w:t>от 16 декабря 2019 г. N 673-рп</w:t>
      </w:r>
    </w:p>
    <w:p w:rsidR="00CB3C91" w:rsidRDefault="00CB3C91">
      <w:pPr>
        <w:pStyle w:val="ConsPlusTitle"/>
        <w:jc w:val="center"/>
      </w:pPr>
    </w:p>
    <w:p w:rsidR="00CB3C91" w:rsidRDefault="00CB3C91">
      <w:pPr>
        <w:pStyle w:val="ConsPlusTitle"/>
        <w:jc w:val="center"/>
      </w:pPr>
      <w:r>
        <w:t>ОБ УТВЕРЖДЕНИИ СТАНДАРТА КАЧЕСТВА ТРАНСПОРТНОГО</w:t>
      </w:r>
    </w:p>
    <w:p w:rsidR="00CB3C91" w:rsidRDefault="00CB3C91">
      <w:pPr>
        <w:pStyle w:val="ConsPlusTitle"/>
        <w:jc w:val="center"/>
      </w:pPr>
      <w:r>
        <w:t>ОБСЛУЖИВАНИЯ НАСЕЛЕНИЯ БЕЛГОРОДСКОЙ ОБЛАСТИ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ind w:firstLine="540"/>
        <w:jc w:val="both"/>
      </w:pPr>
      <w:r>
        <w:t xml:space="preserve">Во исполнение Транспортной </w:t>
      </w:r>
      <w:hyperlink r:id="rId4">
        <w:r>
          <w:rPr>
            <w:color w:val="0000FF"/>
          </w:rPr>
          <w:t>стратегии</w:t>
        </w:r>
      </w:hyperlink>
      <w:r>
        <w:t xml:space="preserve"> Российской Федерации на период до 2030 года, утвержденной распоряжением Правительства Российской Федерации от 22 ноября 2008 года N 1734-р, в целях установления показателей качества обслуживания населения пассажирским транспортом по муниципальным и межмуниципальным маршрутам регулярных перевозок в соответствии с </w:t>
      </w:r>
      <w:hyperlink r:id="rId5">
        <w:r>
          <w:rPr>
            <w:color w:val="0000FF"/>
          </w:rPr>
          <w:t>распоряжением</w:t>
        </w:r>
      </w:hyperlink>
      <w:r>
        <w:t xml:space="preserve"> Министерства транспорта Российской Федерации от 31 января 2017 года N НА-19-р "Об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транспортом" и </w:t>
      </w:r>
      <w:hyperlink r:id="rId6">
        <w:r>
          <w:rPr>
            <w:color w:val="0000FF"/>
          </w:rPr>
          <w:t>законом</w:t>
        </w:r>
      </w:hyperlink>
      <w:r>
        <w:t xml:space="preserve"> Белгородской области от 8 ноября 2011 года N 80 "Об организации транспортного обслуживания населения на территории Белгородской области":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ind w:firstLine="540"/>
        <w:jc w:val="both"/>
      </w:pPr>
      <w:r>
        <w:t xml:space="preserve">1. Утвердить </w:t>
      </w:r>
      <w:hyperlink w:anchor="P29">
        <w:r>
          <w:rPr>
            <w:color w:val="0000FF"/>
          </w:rPr>
          <w:t>Стандарт</w:t>
        </w:r>
      </w:hyperlink>
      <w:r>
        <w:t xml:space="preserve"> качества транспортного обслуживания населения Белгородской области (прилагается).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ind w:firstLine="540"/>
        <w:jc w:val="both"/>
      </w:pPr>
      <w:r>
        <w:t>2. Контроль за исполнением распоряжения возложить на министерство автомобильных дорог и транспорта Белгородской области (Козлитина О.П.).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jc w:val="right"/>
      </w:pPr>
      <w:r>
        <w:t>Губернатор Белгородской области</w:t>
      </w:r>
    </w:p>
    <w:p w:rsidR="00CB3C91" w:rsidRDefault="00CB3C91">
      <w:pPr>
        <w:pStyle w:val="ConsPlusNormal"/>
        <w:jc w:val="right"/>
      </w:pPr>
      <w:r>
        <w:t>Е.С.САВЧЕНКО</w:t>
      </w:r>
    </w:p>
    <w:p w:rsidR="00CB3C91" w:rsidRDefault="00CB3C91">
      <w:pPr>
        <w:pStyle w:val="ConsPlusNormal"/>
        <w:jc w:val="right"/>
      </w:pPr>
    </w:p>
    <w:p w:rsidR="00CB3C91" w:rsidRDefault="00CB3C91">
      <w:pPr>
        <w:pStyle w:val="ConsPlusNormal"/>
        <w:jc w:val="right"/>
      </w:pPr>
    </w:p>
    <w:p w:rsidR="00CB3C91" w:rsidRDefault="00CB3C91">
      <w:pPr>
        <w:pStyle w:val="ConsPlusNormal"/>
        <w:jc w:val="right"/>
      </w:pPr>
    </w:p>
    <w:p w:rsidR="00CB3C91" w:rsidRDefault="00CB3C91">
      <w:pPr>
        <w:pStyle w:val="ConsPlusNormal"/>
        <w:jc w:val="right"/>
      </w:pPr>
    </w:p>
    <w:p w:rsidR="00CB3C91" w:rsidRDefault="00CB3C91">
      <w:pPr>
        <w:pStyle w:val="ConsPlusNormal"/>
        <w:jc w:val="right"/>
      </w:pPr>
    </w:p>
    <w:p w:rsidR="00CB3C91" w:rsidRDefault="00CB3C91">
      <w:pPr>
        <w:pStyle w:val="ConsPlusNormal"/>
        <w:jc w:val="right"/>
        <w:outlineLvl w:val="0"/>
      </w:pPr>
      <w:r>
        <w:t>Приложение</w:t>
      </w:r>
    </w:p>
    <w:p w:rsidR="00CB3C91" w:rsidRDefault="00CB3C91">
      <w:pPr>
        <w:pStyle w:val="ConsPlusNormal"/>
        <w:jc w:val="right"/>
      </w:pPr>
    </w:p>
    <w:p w:rsidR="00CB3C91" w:rsidRDefault="00CB3C91">
      <w:pPr>
        <w:pStyle w:val="ConsPlusNormal"/>
        <w:jc w:val="right"/>
      </w:pPr>
      <w:r>
        <w:t>Утвержден</w:t>
      </w:r>
    </w:p>
    <w:p w:rsidR="00CB3C91" w:rsidRDefault="00CB3C91">
      <w:pPr>
        <w:pStyle w:val="ConsPlusNormal"/>
        <w:jc w:val="right"/>
      </w:pPr>
      <w:r>
        <w:t>распоряжением</w:t>
      </w:r>
    </w:p>
    <w:p w:rsidR="00CB3C91" w:rsidRDefault="00CB3C91">
      <w:pPr>
        <w:pStyle w:val="ConsPlusNormal"/>
        <w:jc w:val="right"/>
      </w:pPr>
      <w:r>
        <w:t>Правительства Белгородской области</w:t>
      </w:r>
    </w:p>
    <w:p w:rsidR="00CB3C91" w:rsidRDefault="00CB3C91">
      <w:pPr>
        <w:pStyle w:val="ConsPlusNormal"/>
        <w:jc w:val="right"/>
      </w:pPr>
      <w:r>
        <w:t>от 16 декабря 2019 г. N 673-рп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3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C91" w:rsidRDefault="00CB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C91" w:rsidRDefault="00CB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3C91" w:rsidRDefault="00CB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Список изменяющих документов </w:t>
            </w:r>
          </w:p>
          <w:p w:rsidR="00CB3C91" w:rsidRDefault="00CB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Белгородской области </w:t>
            </w:r>
          </w:p>
          <w:p w:rsidR="00CB3C91" w:rsidRDefault="00CB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10.01.2022 N 3-рп) 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C91" w:rsidRDefault="00CB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CB3C91" w:rsidRDefault="00CB3C91" w:rsidP="00CB3C91">
      <w:pPr>
        <w:pStyle w:val="ConsPlusNormal"/>
        <w:jc w:val="center"/>
      </w:pPr>
      <w:bookmarkStart w:id="0" w:name="_GoBack"/>
      <w:bookmarkEnd w:id="0"/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Title"/>
        <w:jc w:val="center"/>
      </w:pPr>
      <w:bookmarkStart w:id="1" w:name="P29"/>
      <w:bookmarkEnd w:id="1"/>
      <w:r>
        <w:t>СТАНДАРТ</w:t>
      </w:r>
    </w:p>
    <w:p w:rsidR="00CB3C91" w:rsidRDefault="00CB3C91">
      <w:pPr>
        <w:pStyle w:val="ConsPlusTitle"/>
        <w:jc w:val="center"/>
      </w:pPr>
      <w:r>
        <w:t>КАЧЕСТВА ТРАНСПОРТНОГО ОБСЛУЖИВАНИЯ</w:t>
      </w:r>
    </w:p>
    <w:p w:rsidR="00CB3C91" w:rsidRDefault="00CB3C91">
      <w:pPr>
        <w:pStyle w:val="ConsPlusTitle"/>
        <w:jc w:val="center"/>
      </w:pPr>
      <w:r>
        <w:t>НАСЕЛЕНИЯ БЕЛГОРОДСКОЙ ОБЛАСТИ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Title"/>
        <w:jc w:val="center"/>
        <w:outlineLvl w:val="1"/>
      </w:pPr>
      <w:r>
        <w:t>1. Общие положения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ind w:firstLine="540"/>
        <w:jc w:val="both"/>
      </w:pPr>
      <w:r>
        <w:t>1.1. Стандарт качества транспортного обслуживания населения Белгородской области (далее - Стандарт) устанавливает уровень и показатели качества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по муниципальным и межмуниципальным маршрутам регулярных перевозок и их нормативные значения.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 xml:space="preserve">1.2. Для целей Стандарта используются термины и понятия, применяемые в значениях, </w:t>
      </w:r>
      <w:r>
        <w:lastRenderedPageBreak/>
        <w:t>определенных федеральным законодательством и законодательством Белгородской области, а также следующие понятия: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1) транспортное обслуживание населения - выполнение работ по осуществлению перевозок пассажиров и багажа автомобильным транспортом и городским наземным электрическим транспортом по маршрутам регулярных перевозок;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2) качество транспортного обслуживания населения - интегральная оценка уровня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по маршрутам регулярных перевозок выражается в совокупности характеристик надежности, доступности и комфортности;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3) терминал внешнего транспорта - автостанция, железнодорожная станция, автовокзал, железнодорожный вокзал, аэропорт, от которых осуществляются регулярные пассажирские перевозки в пригородном, междугородном и (или) международном сообщениях;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4) маломобильные группы населения - инвалиды, люди с временным нарушением здоровья, беременные женщины, люди преклонного возраста, люди с детскими колясками, иные категории населения, испытывающие затруднения при пользовании услугами по перевозке пассажиров и багажа автомобильным транспортом и городским наземным электрическим транспортом по маршрутам регулярных перевозок;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5) средства зрительного информирования пассажиров - справочно-информационные стенды и табло, размещенные на объектах транспортной инфраструктуры, а также в транспортных средствах, используемых для осуществления перевозок пассажиров и багажа автомобильным транспортом и городским наземным электрическим транспортом по маршрутам регулярных перевозок, содержащие информацию о маршрутах регулярных перевозок и их расписании.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1.3. Показатели качества транспортного обслуживания населения и их нормативные значения, установленные Стандартом, применяются органами государственной власти и местного самоуправления при разработке нормативных правовых актов в сфере транспортного и градостроительного планирования, в том числе подготовке документов планирования регулярных перевозок пассажиров и багажа автомобильным транспортом и городским наземным электрическим транспортом, заключении и исполнении государственных и муниципальных контрактов между государственными и муниципальными заказчиками, юридическими лицами и индивидуальными предпринимателями, выполняющими работы, связанные с осуществлением регулярных перевозок пассажиров и багажа по регулируемым тарифам, а также при организации и осуществлении регулярных перевозок пассажиров и багажа по нерегулируемым тарифам.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 xml:space="preserve">1.4. Оценка соответствия требованиям Стандарта проводится с использованием интегрального показателя уровня транспортного обслуживания населения при осуществлении перевозок пассажиров и багажа автомобильным транспортом по межмуниципальным маршрутам регулярных перевозок в пригородном сообщении и муниципальным маршрутам регулярных перевозок, рассчитываемого в соответствии с </w:t>
      </w:r>
      <w:hyperlink w:anchor="P138">
        <w:r>
          <w:rPr>
            <w:color w:val="0000FF"/>
          </w:rPr>
          <w:t>Методикой</w:t>
        </w:r>
      </w:hyperlink>
      <w:r>
        <w:t xml:space="preserve"> оценки качества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(приложение к Стандарту), а также опросов населения об уровне удовлетворенности качеством услуг по перевозке пассажиров и багажа автомобильным транспортом и городским наземным электрическим транспортом.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Title"/>
        <w:jc w:val="center"/>
        <w:outlineLvl w:val="1"/>
      </w:pPr>
      <w:r>
        <w:t>2. Показатели качества и их нормативные значения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ind w:firstLine="540"/>
        <w:jc w:val="both"/>
      </w:pPr>
      <w:r>
        <w:t>2.1. Доступность.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Под доступностью понимается характеристика качества транспортного обслуживания населения, выраженная в наличии возможности получения населением услуг по перевозке пассажиров и багажа автомобильным транспортом и городским наземным электрическим транспортом по маршрутам регулярных перевозок.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2.1.1. Территориальная доступность остановочных пунктов.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 xml:space="preserve">Расстояние кратчайшего пешеходного пути следования от ближайшей к остановочному пункту точки границы земельного участка, на котором расположен объект, до ближайшего остановочного пункта, который обслуживается межмуниципальным маршрутом регулярных перевозок в </w:t>
      </w:r>
      <w:r>
        <w:lastRenderedPageBreak/>
        <w:t>пригородном сообщении или муниципальным маршрутом регулярных перевозок пассажиров и багажа автомобильным транспортом и городским наземным электрическим транспортом, не превышает установленных предельных значений в зависимости от категории объекта в соответствии с таблицей.</w:t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jc w:val="right"/>
      </w:pPr>
      <w:r>
        <w:t>Таблица</w:t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Title"/>
        <w:jc w:val="center"/>
      </w:pPr>
      <w:r>
        <w:t>Предельные расстояния кратчайшего пешеходного пути</w:t>
      </w:r>
    </w:p>
    <w:p w:rsidR="00CB3C91" w:rsidRDefault="00CB3C91">
      <w:pPr>
        <w:pStyle w:val="ConsPlusTitle"/>
        <w:jc w:val="center"/>
      </w:pPr>
      <w:r>
        <w:t>от границ участков объектов до остановочных пунктов</w:t>
      </w:r>
    </w:p>
    <w:p w:rsidR="00CB3C91" w:rsidRDefault="00CB3C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0"/>
        <w:gridCol w:w="2891"/>
      </w:tblGrid>
      <w:tr w:rsidR="00CB3C91">
        <w:tc>
          <w:tcPr>
            <w:tcW w:w="6180" w:type="dxa"/>
          </w:tcPr>
          <w:p w:rsidR="00CB3C91" w:rsidRDefault="00CB3C91">
            <w:pPr>
              <w:pStyle w:val="ConsPlusNormal"/>
              <w:jc w:val="center"/>
            </w:pPr>
            <w:r>
              <w:t>Категория объекта</w:t>
            </w:r>
          </w:p>
        </w:tc>
        <w:tc>
          <w:tcPr>
            <w:tcW w:w="2891" w:type="dxa"/>
          </w:tcPr>
          <w:p w:rsidR="00CB3C91" w:rsidRDefault="00CB3C91">
            <w:pPr>
              <w:pStyle w:val="ConsPlusNormal"/>
              <w:jc w:val="center"/>
            </w:pPr>
            <w:r>
              <w:t>Расстояние кратчайшего пешеходного пути, не более, метров</w:t>
            </w:r>
          </w:p>
        </w:tc>
      </w:tr>
      <w:tr w:rsidR="00CB3C91">
        <w:tc>
          <w:tcPr>
            <w:tcW w:w="6180" w:type="dxa"/>
            <w:vAlign w:val="bottom"/>
          </w:tcPr>
          <w:p w:rsidR="00CB3C91" w:rsidRDefault="00CB3C91">
            <w:pPr>
              <w:pStyle w:val="ConsPlusNormal"/>
            </w:pPr>
            <w:r>
              <w:t>Многоквартирный дом</w:t>
            </w:r>
          </w:p>
        </w:tc>
        <w:tc>
          <w:tcPr>
            <w:tcW w:w="2891" w:type="dxa"/>
            <w:vAlign w:val="bottom"/>
          </w:tcPr>
          <w:p w:rsidR="00CB3C91" w:rsidRDefault="00CB3C91">
            <w:pPr>
              <w:pStyle w:val="ConsPlusNormal"/>
              <w:jc w:val="center"/>
            </w:pPr>
            <w:r>
              <w:t>500</w:t>
            </w:r>
          </w:p>
        </w:tc>
      </w:tr>
      <w:tr w:rsidR="00CB3C91">
        <w:tc>
          <w:tcPr>
            <w:tcW w:w="6180" w:type="dxa"/>
            <w:vAlign w:val="center"/>
          </w:tcPr>
          <w:p w:rsidR="00CB3C91" w:rsidRDefault="00CB3C91">
            <w:pPr>
              <w:pStyle w:val="ConsPlusNormal"/>
            </w:pPr>
            <w:r>
              <w:t>Индивидуальный жилой дом</w:t>
            </w:r>
          </w:p>
        </w:tc>
        <w:tc>
          <w:tcPr>
            <w:tcW w:w="2891" w:type="dxa"/>
            <w:vAlign w:val="bottom"/>
          </w:tcPr>
          <w:p w:rsidR="00CB3C91" w:rsidRDefault="00CB3C91">
            <w:pPr>
              <w:pStyle w:val="ConsPlusNormal"/>
              <w:jc w:val="center"/>
            </w:pPr>
            <w:r>
              <w:t>800</w:t>
            </w:r>
          </w:p>
        </w:tc>
      </w:tr>
      <w:tr w:rsidR="00CB3C91">
        <w:tc>
          <w:tcPr>
            <w:tcW w:w="6180" w:type="dxa"/>
            <w:vAlign w:val="bottom"/>
          </w:tcPr>
          <w:p w:rsidR="00CB3C91" w:rsidRDefault="00CB3C91">
            <w:pPr>
              <w:pStyle w:val="ConsPlusNormal"/>
            </w:pPr>
            <w:r>
              <w:t>Предприятия торговли с площадью торгового зала 1000 квадратных метров и более</w:t>
            </w:r>
          </w:p>
        </w:tc>
        <w:tc>
          <w:tcPr>
            <w:tcW w:w="2891" w:type="dxa"/>
          </w:tcPr>
          <w:p w:rsidR="00CB3C91" w:rsidRDefault="00CB3C91">
            <w:pPr>
              <w:pStyle w:val="ConsPlusNormal"/>
              <w:jc w:val="center"/>
            </w:pPr>
            <w:r>
              <w:t>500</w:t>
            </w:r>
          </w:p>
        </w:tc>
      </w:tr>
      <w:tr w:rsidR="00CB3C91">
        <w:tc>
          <w:tcPr>
            <w:tcW w:w="6180" w:type="dxa"/>
            <w:vAlign w:val="bottom"/>
          </w:tcPr>
          <w:p w:rsidR="00CB3C91" w:rsidRDefault="00CB3C91">
            <w:pPr>
              <w:pStyle w:val="ConsPlusNormal"/>
            </w:pPr>
            <w:r>
              <w:t>Поликлиники и больницы муниципальной, региональной и федеральной системы здравоохранения, учреждения (отделения) социального обслуживания граждан</w:t>
            </w:r>
          </w:p>
        </w:tc>
        <w:tc>
          <w:tcPr>
            <w:tcW w:w="2891" w:type="dxa"/>
          </w:tcPr>
          <w:p w:rsidR="00CB3C91" w:rsidRDefault="00CB3C91">
            <w:pPr>
              <w:pStyle w:val="ConsPlusNormal"/>
              <w:jc w:val="center"/>
            </w:pPr>
            <w:r>
              <w:t>300</w:t>
            </w:r>
          </w:p>
        </w:tc>
      </w:tr>
      <w:tr w:rsidR="00CB3C91">
        <w:tc>
          <w:tcPr>
            <w:tcW w:w="6180" w:type="dxa"/>
            <w:vAlign w:val="bottom"/>
          </w:tcPr>
          <w:p w:rsidR="00CB3C91" w:rsidRDefault="00CB3C91">
            <w:pPr>
              <w:pStyle w:val="ConsPlusNormal"/>
            </w:pPr>
            <w:r>
              <w:t>Терминалы внешнего транспорта</w:t>
            </w:r>
          </w:p>
        </w:tc>
        <w:tc>
          <w:tcPr>
            <w:tcW w:w="2891" w:type="dxa"/>
            <w:vAlign w:val="bottom"/>
          </w:tcPr>
          <w:p w:rsidR="00CB3C91" w:rsidRDefault="00CB3C91">
            <w:pPr>
              <w:pStyle w:val="ConsPlusNormal"/>
              <w:jc w:val="center"/>
            </w:pPr>
            <w:r>
              <w:t>300</w:t>
            </w:r>
          </w:p>
        </w:tc>
      </w:tr>
    </w:tbl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ind w:firstLine="540"/>
        <w:jc w:val="both"/>
      </w:pPr>
      <w:r>
        <w:t>2.1.2. Доступность остановочных пунктов, автовокзалов и автостанций для маломобильных групп населения.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 xml:space="preserve">2.1.2.1. Все автовокзалы и автостанции, которые обслуживаются маршрутами регулярных перевозок, отвечают требованиям, установленным подпунктами 8.4.9 - 8.4.14 СП 59.13330 "СНиП 35-01-2001 Доступность зданий и сооружений для маломобильных групп населения", утвержденного </w:t>
      </w:r>
      <w:hyperlink r:id="rId8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14 ноября 2016 года N 798/пр "Об утверждении СП 59.13330 "СНиП 35-01-2001 Доступность зданий и сооружений для маломобильных групп населения", </w:t>
      </w:r>
      <w:hyperlink r:id="rId9">
        <w:r>
          <w:rPr>
            <w:color w:val="0000FF"/>
          </w:rPr>
          <w:t>приказом</w:t>
        </w:r>
      </w:hyperlink>
      <w:r>
        <w:t xml:space="preserve"> Министерства транспорта Российской Федерации от 1 декабря 2015 года N 347 "Об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помощи".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2.1.2.2. Все остановочные пункты, которые обслуживаются маршрутами регулярных перевозок, отвечают требованиям, установленным подпунктами 7.3.1 - 7.3.16 ОДМ 218.2.007-2011 "Методические рекомендации по проектированию мероприятий по обеспечению доступа инвалидов к объектам дорожного хозяйства", изданного на основании распоряжения Федерального дорожного агентства от 5 июня 2013 года N 758-р "Об издании и применении ОДМ 218.2.007-2011 "Методические рекомендации по проектированию мероприятий по обеспечению доступа инвалидов к объектам дорожного хозяйства".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2.1.3. Доступность транспортных средств для маломобильных групп населения.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 xml:space="preserve">Во всех транспортных средствах, используемых для осуществления перевозок пассажиров и багажа автомобильным транспортом и городским наземным электрическим транспортом по маршрутам регулярных перевозок, перевозчиком должна обеспечиваться посадка и высадка, в том числе с использованием специальных подъемных устройств для пассажиров из числа инвалидов, не способных передвигаться самостоятельно, в соответствии с </w:t>
      </w:r>
      <w:hyperlink r:id="rId10">
        <w:r>
          <w:rPr>
            <w:color w:val="0000FF"/>
          </w:rPr>
          <w:t>Приказом</w:t>
        </w:r>
      </w:hyperlink>
      <w:r>
        <w:t xml:space="preserve"> Министерства транспорта Российской Федерации от 1 декабря 2015 года N 347 "Об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помощи", а также оказания им при этом необходимой помощи.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2.1.4. Ценовая доступность поездок по муниципальным маршрутам регулярных перевозок.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lastRenderedPageBreak/>
        <w:t>2.1.4.1. Среднемесячные расходы пассажира на осуществление поездок автомобильным транспортом и городским наземным электрическим транспортом по муниципальным маршрутам регулярных перевозок в пределах муниципального образования составляют не более 7 процентов от величины среднего арифметического взвешенного среднедушевого денежного дохода населения в Белгородской области. Величина среднего арифметического взвешенного среднедушевого денежного дохода населения в Белгородской области рассчитывается для интервалов среднедушевых денежных доходов в распределении населения по величине среднедушевых денежных доходов, расположенных ниже значения среднедушевого денежного дохода населения в Белгородской области, в соответствии с формулой:</w:t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171575" cy="4857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ind w:firstLine="540"/>
        <w:jc w:val="both"/>
      </w:pPr>
      <w:r>
        <w:t>где: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СД</w:t>
      </w:r>
      <w:r>
        <w:rPr>
          <w:vertAlign w:val="subscript"/>
        </w:rPr>
        <w:t>ВЗВ</w:t>
      </w:r>
      <w:r>
        <w:t xml:space="preserve"> - средняя арифметическая взвешенная величина среднедушевого денежного дохода населения в Белгородской области;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Д</w:t>
      </w:r>
      <w:r>
        <w:rPr>
          <w:vertAlign w:val="subscript"/>
        </w:rPr>
        <w:t>I</w:t>
      </w:r>
      <w:r>
        <w:t xml:space="preserve"> - медианная величина среднедушевого денежного дохода в интервале среднедушевого денежного дохода с соответствующей долей населения в распределении населения по величине среднедушевых денежных доходов в Белгородской области;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w</w:t>
      </w:r>
      <w:r>
        <w:rPr>
          <w:vertAlign w:val="subscript"/>
        </w:rPr>
        <w:t>i</w:t>
      </w:r>
      <w:r>
        <w:t xml:space="preserve"> - доля населения Белгородской области, где расположено муниципальное образование, с величиной среднедушевого денежного дохода ниже среднедушевого денежного дохода в Белгородской области.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Величина среднемесячных расходов пассажира на осуществление поездок автомобильным транспортом и городским наземным электрическим транспортом по маршрутам регулярных перевозок приравнивается к стоимости билета длительного пользования для проезда в автомобильном транспорте и городском наземном электрическом транспорте по маршрутам регулярных перевозок, предоставляющего право на неограниченное количество поездок в течение месяца, в случае если доля рейсов маршрутов регулярных перевозок по нерегулируемым тарифам в соответствующем муниципальном образовании составляет не более 25 процентов от общего количества рейсов муниципальных маршрутов регулярных перевозок.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2.1.4.2. В случае отсутствия в муниципальном образовании билетов длительного пользования для проезда в автомобильном транспорте и городском наземном электрическом транспорте по муниципальным маршрутам регулярных перевозок, предоставляющих право на неограниченное количество поездок в течение месяца, или превышения доли рейсов маршрутов регулярных перевозок по нерегулируемым тарифам значения в 25 процентов от общего количества рейсов маршрутов регулярных перевозок в муниципальном образовании, величина среднемесячных расходов пассажира на осуществление поездок автомобильным транспортом и городским наземным электрическим транспортом по муниципальным маршрутам регулярных перевозок в пределах муниципального образования рассчитывается как стоимость количества поездок (в том числе пересадок как отдельных поездок), осуществляемых пассажиром на автомобильном транспорте и городском наземном электрическом транспорте по муниципальным маршрутам регулярных перевозок, в соответствии с формулой:</w:t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jc w:val="center"/>
      </w:pPr>
      <w:r>
        <w:t>P = C x q,</w:t>
      </w:r>
    </w:p>
    <w:p w:rsidR="00CB3C91" w:rsidRDefault="00CB3C91">
      <w:pPr>
        <w:pStyle w:val="ConsPlusNormal"/>
        <w:jc w:val="center"/>
      </w:pPr>
    </w:p>
    <w:p w:rsidR="00CB3C91" w:rsidRDefault="00CB3C91">
      <w:pPr>
        <w:pStyle w:val="ConsPlusNormal"/>
        <w:ind w:firstLine="540"/>
        <w:jc w:val="both"/>
      </w:pPr>
      <w:r>
        <w:t>где: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C - средняя стоимость разового проезда на автомобильном транспорте или городском наземном электрическом транспорте при осуществлении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в рублях;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q - количество поездок (в том числе пересадок), осуществляемых пассажиром на автомобильном транспорте и городском наземном электрическом транспорте по муниципальным маршрутам регулярных перевозок (в среднем за месяц), в зависимости от численности населения муниципального образования: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- до 100 тысяч человек - 40 поездок;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lastRenderedPageBreak/>
        <w:t>- от 100 тысяч до 500 тысяч человек - 60 поездок.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Средняя стоимость разового проезда на автомобильном транспорте и городском наземном электрическом транспорте при осуществлении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рассчитывается по формуле:</w:t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ind w:firstLine="540"/>
        <w:jc w:val="both"/>
      </w:pPr>
      <w:r>
        <w:rPr>
          <w:noProof/>
          <w:position w:val="-26"/>
        </w:rPr>
        <w:drawing>
          <wp:inline distT="0" distB="0" distL="0" distR="0">
            <wp:extent cx="3390900" cy="4667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ind w:firstLine="540"/>
        <w:jc w:val="both"/>
      </w:pPr>
      <w:r>
        <w:t>где: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рег</w:t>
      </w:r>
      <w:r>
        <w:t xml:space="preserve"> - количество рейсов муниципальных маршрутов регулярных перевозок пассажиров и багажа автомобильным транспортом и городским наземным электрическим транспортом по регулируемым тарифам;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C</w:t>
      </w:r>
      <w:r>
        <w:rPr>
          <w:vertAlign w:val="subscript"/>
        </w:rPr>
        <w:t>рег</w:t>
      </w:r>
      <w:r>
        <w:t xml:space="preserve"> - стоимость разового проезда на автомобильном транспорте или городском наземном электрическом транспорте при осуществлении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по регулируемым тарифам;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нерn</w:t>
      </w:r>
      <w:r>
        <w:t xml:space="preserve"> - количество рейсов муниципальных маршрутов регулярных перевозок пассажиров и багажа автомобильным транспортом по нерегулируемым тарифам по соответствующему тарифу;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C</w:t>
      </w:r>
      <w:r>
        <w:rPr>
          <w:vertAlign w:val="subscript"/>
        </w:rPr>
        <w:t>нерn</w:t>
      </w:r>
      <w:r>
        <w:t xml:space="preserve"> - стоимость разового проезда на автомобильном транспорте при осуществлении перевозок пассажиров и багажа автомобильным транспортом по муниципальным маршрутам регулярных перевозок по нерегулируемым тарифам по соответствующему тарифу.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2.1.5. Оснащенность автовокзалов, автостанций и остановочных пунктов.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 xml:space="preserve">2.1.5.1. Все автовокзалы, автостанции и остановочные пункты оснащены средствами зрительного информирования пассажиров с актуальной информацией и прочими элементами обустройства в соответствии с требованиями, установленными </w:t>
      </w:r>
      <w:hyperlink r:id="rId13">
        <w:r>
          <w:rPr>
            <w:color w:val="0000FF"/>
          </w:rPr>
          <w:t>пунктами 14</w:t>
        </w:r>
      </w:hyperlink>
      <w:r>
        <w:t xml:space="preserve"> - </w:t>
      </w:r>
      <w:hyperlink r:id="rId14">
        <w:r>
          <w:rPr>
            <w:color w:val="0000FF"/>
          </w:rPr>
          <w:t>18</w:t>
        </w:r>
      </w:hyperlink>
      <w:r>
        <w:t xml:space="preserve">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14 февраля 2009 года N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2.1.5.2. Для остановочных пунктов автобусов в пригородном и междугородном сообщении должны быть предусмотрены защитные средства от атмосферных осадков вне зависимости от количества пассажиров, отправляемых с остановочных пунктов.</w:t>
      </w:r>
    </w:p>
    <w:p w:rsidR="00CB3C91" w:rsidRDefault="00CB3C91">
      <w:pPr>
        <w:pStyle w:val="ConsPlusNormal"/>
        <w:spacing w:before="200"/>
        <w:ind w:firstLine="540"/>
        <w:jc w:val="both"/>
      </w:pPr>
      <w:bookmarkStart w:id="2" w:name="P106"/>
      <w:bookmarkEnd w:id="2"/>
      <w:r>
        <w:t>2.1.6. Частота обслуживания остановочных пунктов.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В муниципальных образованиях с численностью населения менее 250 человек для каждого остановочного пункта обеспечивается не реже двух дней в неделю не менее одного рейса в сутки по отправлению и не менее одного рейса в сутки по прибытии, обеспечивающих возможность поездки с пересадками до терминалов внешнего транспорта и (или) административного центра.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2.2. Надежность.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Надежность представляет собой характеристику качества транспортного обслуживания населения, выраженную в стабильности получения услуг по перевозке пассажиров и багажа автомобильным транспортом и городским наземным электрическим транспортом по маршрутам регулярных перевозок и предсказуемости уровня их качества.</w:t>
      </w:r>
    </w:p>
    <w:p w:rsidR="00CB3C91" w:rsidRDefault="00CB3C91">
      <w:pPr>
        <w:pStyle w:val="ConsPlusNormal"/>
        <w:spacing w:before="200"/>
        <w:ind w:firstLine="540"/>
        <w:jc w:val="both"/>
      </w:pPr>
      <w:bookmarkStart w:id="3" w:name="P110"/>
      <w:bookmarkEnd w:id="3"/>
      <w:r>
        <w:t>2.2.1. Соблюдение расписания маршрутов регулярных перевозок.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Отправление каждого рейса маршрута регулярных перевозок от каждого остановочного пункта, автовокзала и автостанции осуществляется в соответствии с установленным расписанием либо в пределах двух минут от указанного в расписании времени. Количество рейсов регулярных перевозок, осуществленных с опозданием свыше двух минут, не превышает 15 процентов от общего количества рейсов маршрутов регулярных перевозок соответствующего вида сообщения.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lastRenderedPageBreak/>
        <w:t>2.3. Комфортность.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Под комфортностью понимается характеристика качества транспортного обслуживания населения, выраженная в уровне удобства пользования услугами по перевозке пассажиров и багажа автомобильным транспортом и городским наземным электрическим транспортом по маршрутам регулярных перевозок, в том числе в отсутствие физиологического и психологического дискомфорта для пассажиров в процессе потребления услуги.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2.3.1. Оснащенность транспортных средств средствами информирования пассажиров.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 xml:space="preserve">Все транспортные средства, используемые для осуществления перевозок пассажиров и багажа автомобильным транспортом и городским наземным электрическим транспортом по маршрутам регулярных перевозок, оснащаются средствами информирования пассажиров в соответствии с </w:t>
      </w:r>
      <w:hyperlink r:id="rId15">
        <w:r>
          <w:rPr>
            <w:color w:val="0000FF"/>
          </w:rPr>
          <w:t>пунктами 32</w:t>
        </w:r>
      </w:hyperlink>
      <w:r>
        <w:t xml:space="preserve">, </w:t>
      </w:r>
      <w:hyperlink r:id="rId16">
        <w:r>
          <w:rPr>
            <w:color w:val="0000FF"/>
          </w:rPr>
          <w:t>36</w:t>
        </w:r>
      </w:hyperlink>
      <w:r>
        <w:t xml:space="preserve"> и </w:t>
      </w:r>
      <w:hyperlink r:id="rId17">
        <w:r>
          <w:rPr>
            <w:color w:val="0000FF"/>
          </w:rPr>
          <w:t>подпунктами "а"</w:t>
        </w:r>
      </w:hyperlink>
      <w:r>
        <w:t xml:space="preserve">, </w:t>
      </w:r>
      <w:hyperlink r:id="rId18">
        <w:r>
          <w:rPr>
            <w:color w:val="0000FF"/>
          </w:rPr>
          <w:t>"б"</w:t>
        </w:r>
      </w:hyperlink>
      <w:r>
        <w:t xml:space="preserve">, </w:t>
      </w:r>
      <w:hyperlink r:id="rId19">
        <w:r>
          <w:rPr>
            <w:color w:val="0000FF"/>
          </w:rPr>
          <w:t>"г" пункта 37</w:t>
        </w:r>
      </w:hyperlink>
      <w:r>
        <w:t xml:space="preserve">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14 февраля 2009 года N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2.3.2. Температура в салоне транспортных средств.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Все транспортные средства, используемые для осуществления перевозок пассажиров и багажа автомобильным транспортом и городским наземным электрическим транспортом по маршрутам регулярных перевозок, оборудованы системами отопления и кондиционирования воздуха, настроенными на поддержание комфортной температуры в салоне транспортного средства в любое время года. Температурный режим: не менее 12 градусов Цельсия при среднесуточной температуре наружного воздуха ниже 5 градусов Цельсия, не более 25 градусов Цельсия при среднесуточной температуре наружного воздуха выше 20 градусов Цельсия.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2.3.3. Соблюдение норм вместимости.</w:t>
      </w:r>
    </w:p>
    <w:p w:rsidR="00CB3C91" w:rsidRDefault="00CB3C91">
      <w:pPr>
        <w:pStyle w:val="ConsPlusNormal"/>
        <w:spacing w:before="200"/>
        <w:ind w:firstLine="540"/>
        <w:jc w:val="both"/>
      </w:pPr>
      <w:bookmarkStart w:id="4" w:name="P119"/>
      <w:bookmarkEnd w:id="4"/>
      <w:r>
        <w:t>2.3.3.1. Фактическая наполненность транспортного средства, используемого для осуществления перевозок пассажиров и багажа автомобильным транспортом и городским наземным электрическим транспортом по межмуниципальным маршрутам регулярных перевозок в пригородном сообщении или муниципальным маршрутам регулярных перевозок, составляет не более трех человек на 1 квадратный метр свободной площади пола салона транспортного средства, предусмотренной для размещения стоящих пассажиров.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2.3.3.2. Перевозки пассажиров и багажа автомобильным транспортом по межмуниципальным маршрутам регулярных перевозок в междугородном сообщении осуществляются только с использованием сидячих мест.</w:t>
      </w:r>
    </w:p>
    <w:p w:rsidR="00CB3C91" w:rsidRDefault="00CB3C91">
      <w:pPr>
        <w:pStyle w:val="ConsPlusNormal"/>
        <w:spacing w:before="200"/>
        <w:ind w:firstLine="540"/>
        <w:jc w:val="both"/>
      </w:pPr>
      <w:bookmarkStart w:id="5" w:name="P121"/>
      <w:bookmarkEnd w:id="5"/>
      <w:r>
        <w:t>2.3.4. Количество пересадок.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Общее количество пересадок, осуществляемых пассажиром в целях перемещения в любую точку муниципального образования, при использовании межмуниципальных маршрутов регулярных перевозок в пригородном сообщении и муниципальных маршрутов регулярных перевозок составляет не более одной.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2.3.5. Экологичность.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Все транспортные средства, используемые для осуществления перевозок пассажиров и багажа автомобильным транспортом по маршрутам регулярных перевозок, относятся к экологическому классу Евро-4 и выше.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2.3.6. Превышение установленного заводом-производителем срока службы транспортного средства.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2.3.6.1. Все транспортные средства, используемые для осуществления перевозок пассажиров и багажа автомобильным транспортом по маршрутам регулярных перевозок, относятся к транспортным средствам, у которых не превышен установленный срок службы.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2.3.6.2. Информация о сроке службы приводится в сопутствующей документации на транспортное средство.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lastRenderedPageBreak/>
        <w:t xml:space="preserve">2.3.6.3. В случае если завод-производитель не указал срок службы, то в соответствии со </w:t>
      </w:r>
      <w:hyperlink r:id="rId20">
        <w:r>
          <w:rPr>
            <w:color w:val="0000FF"/>
          </w:rPr>
          <w:t>статьей 6</w:t>
        </w:r>
      </w:hyperlink>
      <w:r>
        <w:t xml:space="preserve"> Закона Российской Федерации от 7 февраля 1992 года N 2300-1 "О защите прав потребителей" его принимают за 10 лет со дня передачи транспортного средства потребителю.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jc w:val="right"/>
        <w:outlineLvl w:val="1"/>
      </w:pPr>
      <w:r>
        <w:t>Приложение</w:t>
      </w:r>
    </w:p>
    <w:p w:rsidR="00CB3C91" w:rsidRDefault="00CB3C91">
      <w:pPr>
        <w:pStyle w:val="ConsPlusNormal"/>
        <w:jc w:val="right"/>
      </w:pPr>
      <w:r>
        <w:t>к Стандарту качества транспортного</w:t>
      </w:r>
    </w:p>
    <w:p w:rsidR="00CB3C91" w:rsidRDefault="00CB3C91">
      <w:pPr>
        <w:pStyle w:val="ConsPlusNormal"/>
        <w:jc w:val="right"/>
      </w:pPr>
      <w:r>
        <w:t>обслуживания населения Белгородской области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Title"/>
        <w:jc w:val="center"/>
      </w:pPr>
      <w:bookmarkStart w:id="6" w:name="P138"/>
      <w:bookmarkEnd w:id="6"/>
      <w:r>
        <w:t>Методика</w:t>
      </w:r>
    </w:p>
    <w:p w:rsidR="00CB3C91" w:rsidRDefault="00CB3C91">
      <w:pPr>
        <w:pStyle w:val="ConsPlusTitle"/>
        <w:jc w:val="center"/>
      </w:pPr>
      <w:r>
        <w:t>оценки качества транспортного обслуживания населения</w:t>
      </w:r>
    </w:p>
    <w:p w:rsidR="00CB3C91" w:rsidRDefault="00CB3C91">
      <w:pPr>
        <w:pStyle w:val="ConsPlusTitle"/>
        <w:jc w:val="center"/>
      </w:pPr>
      <w:r>
        <w:t>при осуществлении перевозок пассажиров и багажа</w:t>
      </w:r>
    </w:p>
    <w:p w:rsidR="00CB3C91" w:rsidRDefault="00CB3C91">
      <w:pPr>
        <w:pStyle w:val="ConsPlusTitle"/>
        <w:jc w:val="center"/>
      </w:pPr>
      <w:r>
        <w:t>автомобильным транспортом и городским наземным электрическим</w:t>
      </w:r>
    </w:p>
    <w:p w:rsidR="00CB3C91" w:rsidRDefault="00CB3C91">
      <w:pPr>
        <w:pStyle w:val="ConsPlusTitle"/>
        <w:jc w:val="center"/>
      </w:pPr>
      <w:r>
        <w:t>транспортом по маршрутам регулярных перевозок</w:t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ind w:firstLine="540"/>
        <w:jc w:val="both"/>
      </w:pPr>
      <w:r>
        <w:t>1. Показатели, используемые при определении качества транспортного обслуживания населения, рассчитываются за отчетный период (календарный год).</w:t>
      </w:r>
    </w:p>
    <w:p w:rsidR="00CB3C91" w:rsidRDefault="00CB3C91">
      <w:pPr>
        <w:pStyle w:val="ConsPlusNormal"/>
        <w:spacing w:before="200"/>
        <w:ind w:firstLine="540"/>
        <w:jc w:val="both"/>
      </w:pPr>
      <w:bookmarkStart w:id="7" w:name="P145"/>
      <w:bookmarkEnd w:id="7"/>
      <w:r>
        <w:t>2. Доступность транспортного обслуживания оценивается с помощью показателей: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1) коэффициент территориальной доступности остановочных пунктов;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2) коэффициент доступности остановочных пунктов, автовокзалов и автостанций для маломобильных групп населения;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3) коэффициент доступности транспортных средств для маломобильных групп населения;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4) коэффициент ценовой доступности поездок по муниципальным маршрутам регулярных перевозок;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5) коэффициент оснащенности автовокзалов, автостанций и остановочных пунктов;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6) доля остановочных пунктов, обслуживаемых с минимальной нормативной частотой.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2.1. Коэффициент территориальной доступности остановочных пунктов k</w:t>
      </w:r>
      <w:r>
        <w:rPr>
          <w:vertAlign w:val="subscript"/>
        </w:rPr>
        <w:t>дост. оп</w:t>
      </w:r>
      <w:r>
        <w:t>:</w:t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3429000" cy="44767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ind w:firstLine="540"/>
        <w:jc w:val="both"/>
      </w:pPr>
      <w:r>
        <w:t>где: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мкд.дост</w:t>
      </w:r>
      <w:r>
        <w:t xml:space="preserve"> - количество многоквартирных домов в пределах норматива пешеходной доступности до остановочных пунктов;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ид.дост</w:t>
      </w:r>
      <w:r>
        <w:t xml:space="preserve"> - количество индивидуальных домов в пределах норматива пешеходной доступности до остановочных пунктов;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тп.дост</w:t>
      </w:r>
      <w:r>
        <w:t xml:space="preserve"> - количество предприятий торговли с площадью торгового зала 1000 квадратных метров и более в пределах норматива пешеходной доступности до остановочных пунктов;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мед.дост</w:t>
      </w:r>
      <w:r>
        <w:t xml:space="preserve"> - количество поликлиник и больниц муниципальной, региональной и федеральной системы здравоохранения, учреждений (отделений) социального обслуживания граждан в пределах норматива пешеходной доступности до остановочных пунктов;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вн.тр.дост</w:t>
      </w:r>
      <w:r>
        <w:t xml:space="preserve"> - количество терминалов внешнего транспорта в пределах норматива пешеходной доступности до остановочных пунктов;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Q - общее количество объектов указанных категорий, функционирующих в муниципальном образовании.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 xml:space="preserve">В зависимости от интервала значения показателя ему присваивается балл в соответствии с </w:t>
      </w:r>
      <w:r>
        <w:lastRenderedPageBreak/>
        <w:t>таблицей 1.</w:t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jc w:val="right"/>
        <w:outlineLvl w:val="2"/>
      </w:pPr>
      <w:r>
        <w:t>Таблица 1</w:t>
      </w:r>
    </w:p>
    <w:p w:rsidR="00CB3C91" w:rsidRDefault="00CB3C91">
      <w:pPr>
        <w:pStyle w:val="ConsPlusNormal"/>
        <w:jc w:val="right"/>
      </w:pPr>
    </w:p>
    <w:p w:rsidR="00CB3C91" w:rsidRDefault="00CB3C91">
      <w:pPr>
        <w:pStyle w:val="ConsPlusTitle"/>
        <w:jc w:val="center"/>
      </w:pPr>
      <w:r>
        <w:t>Оценка значений коэффициента территориальной</w:t>
      </w:r>
    </w:p>
    <w:p w:rsidR="00CB3C91" w:rsidRDefault="00CB3C91">
      <w:pPr>
        <w:pStyle w:val="ConsPlusTitle"/>
        <w:jc w:val="center"/>
      </w:pPr>
      <w:r>
        <w:t>доступности остановочных пунктов</w:t>
      </w:r>
    </w:p>
    <w:p w:rsidR="00CB3C91" w:rsidRDefault="00CB3C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1757"/>
      </w:tblGrid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Значение коэффициента территориальной доступности остановочных пунктов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Балл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523875" cy="25717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1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0,1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2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0,2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3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0,3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4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0,4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5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0,5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6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0,6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7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0,7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8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0,8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9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0,9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10</w:t>
            </w:r>
          </w:p>
        </w:tc>
      </w:tr>
    </w:tbl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ind w:firstLine="540"/>
        <w:jc w:val="both"/>
      </w:pPr>
      <w:r>
        <w:t>2.2. Коэффициент доступности остановочных пунктов, автовокзалов и автостанций для маломобильных групп населения k</w:t>
      </w:r>
      <w:r>
        <w:rPr>
          <w:vertAlign w:val="subscript"/>
        </w:rPr>
        <w:t>оп,ав,ас.мгн</w:t>
      </w:r>
      <w:r>
        <w:t>:</w:t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371600" cy="45720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ind w:firstLine="540"/>
        <w:jc w:val="both"/>
      </w:pPr>
      <w:r>
        <w:t>где: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оп,ав,ас.мгн</w:t>
      </w:r>
      <w:r>
        <w:t xml:space="preserve"> - количество остановочных пунктов, автовокзалов и автостанций, отвечающих требованиям, установленным подпунктами 8.4.9 - 8.4.14 СП 59.13330 "СНиП 35-01-2001 Доступность зданий и сооружений для маломобильных групп населения", утвержденного </w:t>
      </w:r>
      <w:hyperlink r:id="rId24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14 ноября 2016 года N 798/пр "Об утверждении СП 59.13330 "СНиП 35-01-2001 Доступность зданий и сооружений для маломобильных групп населения", </w:t>
      </w:r>
      <w:hyperlink r:id="rId25">
        <w:r>
          <w:rPr>
            <w:color w:val="0000FF"/>
          </w:rPr>
          <w:t>приказом</w:t>
        </w:r>
      </w:hyperlink>
      <w:r>
        <w:t xml:space="preserve"> Министерства транспорта Российской Федерации от 1 декабря 2015 года N 347 "Об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помощи", подпунктами 7.3.1 - 7.3.16 ОДМ 218.2.007-2011 "Методические рекомендации по проектированию мероприятий по обеспечению доступа инвалидов к объектам дорожного хозяйства", изданного на основании распоряжения Федерального дорожного агентства от 5 июня 2013 года N 758-р "Об издании и применении ОДМ 218.2.007-2011 "Методические рекомендации по проектированию мероприятий по обеспечению доступа инвалидов к объектам дорожного хозяйства";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оп,ав,ас.</w:t>
      </w:r>
      <w:r>
        <w:t xml:space="preserve"> - общее количество остановочных пунктов, автовокзалов и автостанций.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В зависимости от интервала значения показателя ему присваивается балл в соответствии с таблицей 2.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jc w:val="right"/>
        <w:outlineLvl w:val="2"/>
      </w:pPr>
      <w:r>
        <w:t>Таблица 2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Title"/>
        <w:jc w:val="center"/>
      </w:pPr>
      <w:r>
        <w:t>Оценка значений коэффициента доступности остановочных</w:t>
      </w:r>
    </w:p>
    <w:p w:rsidR="00CB3C91" w:rsidRDefault="00CB3C91">
      <w:pPr>
        <w:pStyle w:val="ConsPlusTitle"/>
        <w:jc w:val="center"/>
      </w:pPr>
      <w:r>
        <w:lastRenderedPageBreak/>
        <w:t>пунктов, автовокзалов и автостанций для</w:t>
      </w:r>
    </w:p>
    <w:p w:rsidR="00CB3C91" w:rsidRDefault="00CB3C91">
      <w:pPr>
        <w:pStyle w:val="ConsPlusTitle"/>
        <w:jc w:val="center"/>
      </w:pPr>
      <w:r>
        <w:t>маломобильных групп населения</w:t>
      </w:r>
    </w:p>
    <w:p w:rsidR="00CB3C91" w:rsidRDefault="00CB3C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1757"/>
      </w:tblGrid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Значение коэффициента доступности остановочных пунктов, автовокзалов и автостанций для маломобильных групп населения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Балл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647700" cy="25717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&lt; 0,1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1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0,1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2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0,2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3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0,3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4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0,4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5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0,5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6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0,6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7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0,7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8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0,8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9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0,9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10</w:t>
            </w:r>
          </w:p>
        </w:tc>
      </w:tr>
    </w:tbl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ind w:firstLine="540"/>
        <w:jc w:val="both"/>
      </w:pPr>
      <w:r>
        <w:t>2.3. Коэффициент доступности транспортных средств для маломобильных групп населения k</w:t>
      </w:r>
      <w:r>
        <w:rPr>
          <w:vertAlign w:val="subscript"/>
        </w:rPr>
        <w:t>тс.мгн</w:t>
      </w:r>
      <w:r>
        <w:t>:</w:t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952500" cy="42862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ind w:firstLine="540"/>
        <w:jc w:val="both"/>
      </w:pPr>
      <w:r>
        <w:t>где: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тс.мгн</w:t>
      </w:r>
      <w:r>
        <w:t xml:space="preserve"> - количество транспортных средств, оснащенных вспомогательными средствами для перемещения человека, сидящего в кресле-коляске, при посадке в транспортное средство или высадке из него (в соответствии с определением вспомогательного средства, содержащимся в пункте 3.1.9 ГОСТ Р 51090-2017 "Средства общественного пассажирского транспорта. Общие технические требования доступности и безопасности для инвалидов");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TC</w:t>
      </w:r>
      <w:r>
        <w:t xml:space="preserve"> - общее количество транспортных средств, предназначенных для перевозок пассажиров и багажа автомобильным транспортом и городским наземным электрическим транспортом по маршрутам регулярных перевозок.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В зависимости от интервала значения показателя ему присваивается балл в соответствии с таблицей 3.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jc w:val="right"/>
        <w:outlineLvl w:val="2"/>
      </w:pPr>
      <w:r>
        <w:t>Таблица 3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Title"/>
        <w:jc w:val="center"/>
      </w:pPr>
      <w:r>
        <w:t>Оценка значений коэффициента доступности транспортных</w:t>
      </w:r>
    </w:p>
    <w:p w:rsidR="00CB3C91" w:rsidRDefault="00CB3C91">
      <w:pPr>
        <w:pStyle w:val="ConsPlusTitle"/>
        <w:jc w:val="center"/>
      </w:pPr>
      <w:r>
        <w:t>средств для маломобильных групп населения</w:t>
      </w:r>
    </w:p>
    <w:p w:rsidR="00CB3C91" w:rsidRDefault="00CB3C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1757"/>
      </w:tblGrid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Значение коэффициента доступности транспортных средств для маломобильных групп населения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Балл 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495300" cy="23812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&lt; 0,1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1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0,1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2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0,2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3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lastRenderedPageBreak/>
              <w:t>&gt;= 0,3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4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0,4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5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0,5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6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0,6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7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0,7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8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0,8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9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0,9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10</w:t>
            </w:r>
          </w:p>
        </w:tc>
      </w:tr>
    </w:tbl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ind w:firstLine="540"/>
        <w:jc w:val="both"/>
      </w:pPr>
      <w:r>
        <w:t>2.4. Коэффициент ценовой доступности поездок по маршрутам регулярных перевозок k</w:t>
      </w:r>
      <w:r>
        <w:rPr>
          <w:vertAlign w:val="subscript"/>
        </w:rPr>
        <w:t>д</w:t>
      </w:r>
      <w:r>
        <w:t>:</w:t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733425" cy="42862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ind w:firstLine="540"/>
        <w:jc w:val="both"/>
      </w:pPr>
      <w:r>
        <w:t>где: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Р - среднемесячные расходы пассажира на осуществление поездок автомобильным транспортом и городским наземным электрическим транспортом по маршрутам регулярных перевозок в пределах муниципального образования;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СД</w:t>
      </w:r>
      <w:r>
        <w:rPr>
          <w:vertAlign w:val="subscript"/>
        </w:rPr>
        <w:t>взв</w:t>
      </w:r>
      <w:r>
        <w:t xml:space="preserve"> - средняя арифметическая взвешенная величина среднедушевого денежного дохода населения в Белгородской области.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В зависимости от интервала значения показателя ему присваивается балл в соответствии с таблицей 4.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jc w:val="right"/>
        <w:outlineLvl w:val="2"/>
      </w:pPr>
      <w:r>
        <w:t>Таблица 4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Title"/>
        <w:jc w:val="center"/>
      </w:pPr>
      <w:r>
        <w:t>Оценка значений коэффициента ценовой доступности</w:t>
      </w:r>
    </w:p>
    <w:p w:rsidR="00CB3C91" w:rsidRDefault="00CB3C91">
      <w:pPr>
        <w:pStyle w:val="ConsPlusTitle"/>
        <w:jc w:val="center"/>
      </w:pPr>
      <w:r>
        <w:t>поездок по маршрутам регулярных перевозок</w:t>
      </w:r>
    </w:p>
    <w:p w:rsidR="00CB3C91" w:rsidRDefault="00CB3C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1757"/>
      </w:tblGrid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Значение коэффициента ценовой доступности поездок по маршрутам регулярных перевозок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Балл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352425" cy="25717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менее 0,02 и свыше 0,07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1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от 0,02, но менее 0,03 и от 0,06, но менее 0,07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4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от 0,03, но менее 0,04 и от 0,05, но менее 0,06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7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от 0,04 до 0,05 включительно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10</w:t>
            </w:r>
          </w:p>
        </w:tc>
      </w:tr>
    </w:tbl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ind w:firstLine="540"/>
        <w:jc w:val="both"/>
      </w:pPr>
      <w:r>
        <w:t>2.5. Коэффициент оснащенности автовокзалов, автостанций и остановочных пунктов:</w:t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562100" cy="45720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ind w:firstLine="540"/>
        <w:jc w:val="both"/>
      </w:pPr>
      <w:r>
        <w:t>где: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оснащ.оп,ав,ас</w:t>
      </w:r>
      <w:r>
        <w:t xml:space="preserve"> - количество остановочных пунктов, автовокзалов и автостанций, оснащенных средствами зрительного информирования пассажиров с актуальной информацией и прочими элементами обустройства в соответствии с требованиями, установленными </w:t>
      </w:r>
      <w:hyperlink r:id="rId32">
        <w:r>
          <w:rPr>
            <w:color w:val="0000FF"/>
          </w:rPr>
          <w:t>пунктами 14</w:t>
        </w:r>
      </w:hyperlink>
      <w:r>
        <w:t xml:space="preserve"> - </w:t>
      </w:r>
      <w:hyperlink r:id="rId33">
        <w:r>
          <w:rPr>
            <w:color w:val="0000FF"/>
          </w:rPr>
          <w:t>18</w:t>
        </w:r>
      </w:hyperlink>
      <w:r>
        <w:t xml:space="preserve">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14 февраля 2009 года N 112 "Об утверждении Правил перевозок пассажиров и багажа автомобильным </w:t>
      </w:r>
      <w:r>
        <w:lastRenderedPageBreak/>
        <w:t>транспортом и городским наземным электрическим транспортом";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оп,ав,ас</w:t>
      </w:r>
      <w:r>
        <w:t xml:space="preserve"> - общее количество остановочных пунктов, автовокзалов и автостанций.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В зависимости от интервала значения показателя ему присваивается балл в соответствии с таблицей 5.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jc w:val="right"/>
        <w:outlineLvl w:val="2"/>
      </w:pPr>
      <w:r>
        <w:t>Таблица 5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Title"/>
        <w:jc w:val="center"/>
      </w:pPr>
      <w:r>
        <w:t>Оценка значений коэффициента оснащенности остановочных</w:t>
      </w:r>
    </w:p>
    <w:p w:rsidR="00CB3C91" w:rsidRDefault="00CB3C91">
      <w:pPr>
        <w:pStyle w:val="ConsPlusTitle"/>
        <w:jc w:val="center"/>
      </w:pPr>
      <w:r>
        <w:t>пунктов, автовокзалов и автостанций</w:t>
      </w:r>
    </w:p>
    <w:p w:rsidR="00CB3C91" w:rsidRDefault="00CB3C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1757"/>
      </w:tblGrid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Значение коэффициента оснащенности остановочных пунктов, автовокзалов и автостанций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Балл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714375" cy="25717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&lt; 0,1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1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0,1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2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0,2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3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0,3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4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0,4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5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0,5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6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0,6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7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0,7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8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0,8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9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0,9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10</w:t>
            </w:r>
          </w:p>
        </w:tc>
      </w:tr>
    </w:tbl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ind w:firstLine="540"/>
        <w:jc w:val="both"/>
      </w:pPr>
      <w:r>
        <w:t>2.6. Доля остановочных пунктов, обслуживаемых с минимальной нормативной частотой Д</w:t>
      </w:r>
      <w:r>
        <w:rPr>
          <w:vertAlign w:val="subscript"/>
        </w:rPr>
        <w:t>min част</w:t>
      </w:r>
      <w:r>
        <w:t>:</w:t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457325" cy="45720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ind w:firstLine="540"/>
        <w:jc w:val="both"/>
      </w:pPr>
      <w:r>
        <w:t>где: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495300" cy="2381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остановочных пунктов, обслуживаемых с минимальной нормативной частотой, установленной </w:t>
      </w:r>
      <w:hyperlink w:anchor="P106">
        <w:r>
          <w:rPr>
            <w:color w:val="0000FF"/>
          </w:rPr>
          <w:t>подпунктом 2.1.6 пункта 2.1 раздела 2</w:t>
        </w:r>
      </w:hyperlink>
      <w:r>
        <w:t xml:space="preserve"> Стандарта качества транспортного обслуживания населения Белгородской области;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оп</w:t>
      </w:r>
      <w:r>
        <w:t xml:space="preserve"> - общее количество остановочных пунктов.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В зависимости от интервала значения показателя ему присваивается балл в соответствии с таблицей 6.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jc w:val="right"/>
        <w:outlineLvl w:val="2"/>
      </w:pPr>
      <w:r>
        <w:t>Таблица 6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Title"/>
        <w:jc w:val="center"/>
      </w:pPr>
      <w:r>
        <w:t>Оценка значения доли остановочных пунктов,</w:t>
      </w:r>
    </w:p>
    <w:p w:rsidR="00CB3C91" w:rsidRDefault="00CB3C91">
      <w:pPr>
        <w:pStyle w:val="ConsPlusTitle"/>
        <w:jc w:val="center"/>
      </w:pPr>
      <w:r>
        <w:t>обслуживаемых с минимальной нормативной частотой</w:t>
      </w:r>
    </w:p>
    <w:p w:rsidR="00CB3C91" w:rsidRDefault="00CB3C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1757"/>
      </w:tblGrid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Значение доли остановочных пунктов, обслуживаемых с минимальной нормативной частотой (%)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Балл 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542925" cy="23812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lastRenderedPageBreak/>
              <w:t>&lt; 10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1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10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2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20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3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30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4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40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5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50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6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60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7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70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8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80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9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90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10</w:t>
            </w:r>
          </w:p>
        </w:tc>
      </w:tr>
    </w:tbl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ind w:firstLine="540"/>
        <w:jc w:val="both"/>
      </w:pPr>
      <w:r>
        <w:t>3. Надежность транспортного обслуживания оценивается с помощью показателя "коэффициент соблюдения расписания маршрутов регулярных перевозок".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3.1. Коэффициент соблюдения расписания маршрутов регулярных перевозок k</w:t>
      </w:r>
      <w:r>
        <w:rPr>
          <w:vertAlign w:val="subscript"/>
        </w:rPr>
        <w:t>расп</w:t>
      </w:r>
      <w:r>
        <w:t>:</w:t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942975" cy="48577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ind w:firstLine="540"/>
        <w:jc w:val="both"/>
      </w:pPr>
      <w:r>
        <w:t>где: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466725" cy="25717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количество рейсов при осуществлении перевозок пассажиров и багажа автомобильным транспортом и городским наземным электрическим транспортом по маршрутам регулярных перевозок, выполненных в момент времени, установленный расписанием, или в пределах допустимых отклонений от расписания движения в соответствии с </w:t>
      </w:r>
      <w:hyperlink w:anchor="P110">
        <w:r>
          <w:rPr>
            <w:color w:val="0000FF"/>
          </w:rPr>
          <w:t>подпунктом 2.2.1 пункта 2.2 раздела 2</w:t>
        </w:r>
      </w:hyperlink>
      <w:r>
        <w:t xml:space="preserve"> Стандарта качества транспортного обслуживания населения Белгородской области;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рейс</w:t>
      </w:r>
      <w:r>
        <w:t xml:space="preserve"> - общее количество рейсов при осуществлении перевозок пассажиров и багажа автомобильным транспортом и городским наземным электрическим транспортом по маршрутам регулярных перевозок.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В зависимости от интервала значения показателя ему присваивается балл в соответствии с таблицей 7.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jc w:val="right"/>
        <w:outlineLvl w:val="2"/>
      </w:pPr>
      <w:r>
        <w:t>Таблица 7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Title"/>
        <w:jc w:val="center"/>
      </w:pPr>
      <w:r>
        <w:t>Оценка значений коэффициента соблюдения</w:t>
      </w:r>
    </w:p>
    <w:p w:rsidR="00CB3C91" w:rsidRDefault="00CB3C91">
      <w:pPr>
        <w:pStyle w:val="ConsPlusTitle"/>
        <w:jc w:val="center"/>
      </w:pPr>
      <w:r>
        <w:t>расписания маршрутов регулярных перевозок</w:t>
      </w:r>
    </w:p>
    <w:p w:rsidR="00CB3C91" w:rsidRDefault="00CB3C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1757"/>
      </w:tblGrid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Значение коэффициента соблюдения расписания маршрутов регулярных перевозок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Балл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447675" cy="25717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&lt; 0,65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1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0,65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2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0,70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3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0,75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4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0,80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5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lastRenderedPageBreak/>
              <w:t>&gt;= 0,85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6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0,88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7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0,90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8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0,93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9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0,95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10</w:t>
            </w:r>
          </w:p>
        </w:tc>
      </w:tr>
    </w:tbl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ind w:firstLine="540"/>
        <w:jc w:val="both"/>
      </w:pPr>
      <w:r>
        <w:t>4. Комфортность транспортного обслуживания оценивается с помощью показателей: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1) коэффициент оснащенности информирования пассажиров;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2) доля рейсов с нормативной температурой в салоне транспортного средства;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3) коэффициент соблюдения норм вместимости;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4) коэффициент соблюдения норм по количеству пересадок;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5) доля транспортных средств высоких экологических классов;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6) доля транспортных средств с превышением установленного заводом-производителем срока службы транспортного средства.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4.1. Коэффициент оснащенности транспортных средств средствами информирования пассажиров k</w:t>
      </w:r>
      <w:r>
        <w:rPr>
          <w:vertAlign w:val="subscript"/>
        </w:rPr>
        <w:t>оснащ.тс</w:t>
      </w:r>
      <w:r>
        <w:t>:</w:t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1143000" cy="44767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ind w:firstLine="540"/>
        <w:jc w:val="both"/>
      </w:pPr>
      <w:r>
        <w:t>где: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оснащ.тс</w:t>
      </w:r>
      <w:r>
        <w:t xml:space="preserve"> - количество транспортных средств, оснащенных средствами информирования пассажиров, в соответствии </w:t>
      </w:r>
      <w:hyperlink r:id="rId42">
        <w:r>
          <w:rPr>
            <w:color w:val="0000FF"/>
          </w:rPr>
          <w:t>пунктами 32</w:t>
        </w:r>
      </w:hyperlink>
      <w:r>
        <w:t xml:space="preserve">, </w:t>
      </w:r>
      <w:hyperlink r:id="rId43">
        <w:r>
          <w:rPr>
            <w:color w:val="0000FF"/>
          </w:rPr>
          <w:t>36</w:t>
        </w:r>
      </w:hyperlink>
      <w:r>
        <w:t xml:space="preserve"> и </w:t>
      </w:r>
      <w:hyperlink r:id="rId44">
        <w:r>
          <w:rPr>
            <w:color w:val="0000FF"/>
          </w:rPr>
          <w:t>подпунктами "а"</w:t>
        </w:r>
      </w:hyperlink>
      <w:r>
        <w:t xml:space="preserve">, </w:t>
      </w:r>
      <w:hyperlink r:id="rId45">
        <w:r>
          <w:rPr>
            <w:color w:val="0000FF"/>
          </w:rPr>
          <w:t>"б"</w:t>
        </w:r>
      </w:hyperlink>
      <w:r>
        <w:t xml:space="preserve">, </w:t>
      </w:r>
      <w:hyperlink r:id="rId46">
        <w:r>
          <w:rPr>
            <w:color w:val="0000FF"/>
          </w:rPr>
          <w:t>"г" пункта 37</w:t>
        </w:r>
      </w:hyperlink>
      <w:r>
        <w:t xml:space="preserve">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14 февраля 2009 года N 112 "Об утверждении Правил перевозок пассажиров и багажа автомобильным транспортом и городским наземным электрическим транспортом";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тс</w:t>
      </w:r>
      <w:r>
        <w:t xml:space="preserve"> - количество транспортных средств, предназначенных для осуществления перевозок пассажиров и багажа автомобильным транспортом и городским наземным электрическим транспортом по маршрутам регулярных перевозок.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В зависимости от интервала значения показателя ему присваивается балл в соответствии с таблицей 8.</w:t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jc w:val="right"/>
        <w:outlineLvl w:val="2"/>
      </w:pPr>
      <w:r>
        <w:t>Таблица 8</w:t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Title"/>
        <w:jc w:val="center"/>
      </w:pPr>
      <w:r>
        <w:t>Оценка значений коэффициента оснащенности транспортных</w:t>
      </w:r>
    </w:p>
    <w:p w:rsidR="00CB3C91" w:rsidRDefault="00CB3C91">
      <w:pPr>
        <w:pStyle w:val="ConsPlusTitle"/>
        <w:jc w:val="center"/>
      </w:pPr>
      <w:r>
        <w:t>средств средствами информирования пассажиров</w:t>
      </w:r>
    </w:p>
    <w:p w:rsidR="00CB3C91" w:rsidRDefault="00CB3C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1757"/>
      </w:tblGrid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Значение коэффициента оснащенности транспортных средств средствами информирования пассажиров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Балл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561975" cy="257175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&lt; 0,1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1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0,1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2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0,3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4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0,4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6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lastRenderedPageBreak/>
              <w:t>&gt;= 0,5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8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0,7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9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0,9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10</w:t>
            </w:r>
          </w:p>
        </w:tc>
      </w:tr>
    </w:tbl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ind w:firstLine="540"/>
        <w:jc w:val="both"/>
      </w:pPr>
      <w:r>
        <w:t>4.3. Доля рейсов с нормативной температурой в салоне транспортного средства Д</w:t>
      </w:r>
      <w:r>
        <w:rPr>
          <w:vertAlign w:val="subscript"/>
        </w:rPr>
        <w:t>рейс.темп</w:t>
      </w:r>
      <w:r>
        <w:t>:</w:t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рейс.темп.</w:t>
      </w:r>
      <w:r>
        <w:t xml:space="preserve"> = (Д</w:t>
      </w:r>
      <w:r>
        <w:rPr>
          <w:vertAlign w:val="subscript"/>
        </w:rPr>
        <w:t>конд</w:t>
      </w:r>
      <w:r>
        <w:t xml:space="preserve"> x Д</w:t>
      </w:r>
      <w:r>
        <w:rPr>
          <w:vertAlign w:val="subscript"/>
        </w:rPr>
        <w:t>дней&gt;20</w:t>
      </w:r>
      <w:r>
        <w:t xml:space="preserve"> + Д</w:t>
      </w:r>
      <w:r>
        <w:rPr>
          <w:vertAlign w:val="subscript"/>
        </w:rPr>
        <w:t>отопл</w:t>
      </w:r>
      <w:r>
        <w:t xml:space="preserve"> x Д</w:t>
      </w:r>
      <w:r>
        <w:rPr>
          <w:vertAlign w:val="subscript"/>
        </w:rPr>
        <w:t>дней&lt;5</w:t>
      </w:r>
      <w:r>
        <w:t xml:space="preserve"> + Д</w:t>
      </w:r>
      <w:r>
        <w:rPr>
          <w:vertAlign w:val="subscript"/>
        </w:rPr>
        <w:t>дней&lt;20 и&gt;5</w:t>
      </w:r>
      <w:r>
        <w:t>) x 100,</w:t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ind w:firstLine="540"/>
        <w:jc w:val="both"/>
      </w:pPr>
      <w:r>
        <w:t>где: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Д</w:t>
      </w:r>
      <w:r>
        <w:rPr>
          <w:vertAlign w:val="subscript"/>
        </w:rPr>
        <w:t>конд</w:t>
      </w:r>
      <w:r>
        <w:t xml:space="preserve"> - доля транспортных средств, задействованных в транспортном обслуживании населения по регулярным маршрутам, с нормативной температурой в салоне при среднесуточной температуре на улице более 20 градусов по Цельсию;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Д</w:t>
      </w:r>
      <w:r>
        <w:rPr>
          <w:vertAlign w:val="subscript"/>
        </w:rPr>
        <w:t>отопл</w:t>
      </w:r>
      <w:r>
        <w:t xml:space="preserve"> - доля транспортных средств, задействованных в обслуживании населения по регулярным маршрутам, с нормативной температурой в салоне при среднесуточной температуре на улице менее 5 градусов по Цельсию;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Д</w:t>
      </w:r>
      <w:r>
        <w:rPr>
          <w:vertAlign w:val="subscript"/>
        </w:rPr>
        <w:t>дней&gt;20</w:t>
      </w:r>
      <w:r>
        <w:t xml:space="preserve"> - доля дней в году со среднесуточной температурой более 20 градусов Цельсия;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Д</w:t>
      </w:r>
      <w:r>
        <w:rPr>
          <w:vertAlign w:val="subscript"/>
        </w:rPr>
        <w:t>дней&lt;5</w:t>
      </w:r>
      <w:r>
        <w:t xml:space="preserve"> - доля дней в году со среднесуточной температурой менее 5 градусов Цельсия;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Д</w:t>
      </w:r>
      <w:r>
        <w:rPr>
          <w:vertAlign w:val="subscript"/>
        </w:rPr>
        <w:t>дней&lt;20 и&gt;5</w:t>
      </w:r>
      <w:r>
        <w:t xml:space="preserve"> - доля дней в году со среднесуточной температурой более 5, но менее 20 градусов Цельсия.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В зависимости от интервала значения показателя ему присваивается балл в соответствии с таблицей 9.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jc w:val="right"/>
        <w:outlineLvl w:val="2"/>
      </w:pPr>
      <w:r>
        <w:t>Таблица 9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Title"/>
        <w:jc w:val="center"/>
      </w:pPr>
      <w:r>
        <w:t>Оценка значений доли рейсов с нормативной</w:t>
      </w:r>
    </w:p>
    <w:p w:rsidR="00CB3C91" w:rsidRDefault="00CB3C91">
      <w:pPr>
        <w:pStyle w:val="ConsPlusTitle"/>
        <w:jc w:val="center"/>
      </w:pPr>
      <w:r>
        <w:t>температурой в салоне транспортного средства</w:t>
      </w:r>
    </w:p>
    <w:p w:rsidR="00CB3C91" w:rsidRDefault="00CB3C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1757"/>
      </w:tblGrid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Значение доли рейсов с нормативной температурой в салоне транспортного средства (%)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Балл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581025" cy="25717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&lt; 10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1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10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2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20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3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30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4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40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5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50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6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60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7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70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8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80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9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90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10</w:t>
            </w:r>
          </w:p>
        </w:tc>
      </w:tr>
    </w:tbl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ind w:firstLine="540"/>
        <w:jc w:val="both"/>
      </w:pPr>
      <w:r>
        <w:t>4.4. Коэффициент соблюдения норм вместимости к</w:t>
      </w:r>
      <w:r>
        <w:rPr>
          <w:vertAlign w:val="subscript"/>
        </w:rPr>
        <w:t>вм</w:t>
      </w:r>
      <w:r>
        <w:t>:</w:t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jc w:val="center"/>
      </w:pPr>
      <w:r>
        <w:rPr>
          <w:noProof/>
          <w:position w:val="-26"/>
        </w:rPr>
        <w:lastRenderedPageBreak/>
        <w:drawing>
          <wp:inline distT="0" distB="0" distL="0" distR="0">
            <wp:extent cx="828675" cy="46672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ind w:firstLine="540"/>
        <w:jc w:val="both"/>
      </w:pPr>
      <w:r>
        <w:t>где: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419100" cy="23812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рейсов, выполненных транспортными средствами при осуществлении перевозок пассажиров и багажа автомобильным транспортом и городским наземным электрическим транспортом по межмуниципальным маршрутам регулярных перевозок в пригородном сообщении и муниципальным маршрутам регулярных перевозок, с соблюдением норм вместимости в соответствии с </w:t>
      </w:r>
      <w:hyperlink w:anchor="P119">
        <w:r>
          <w:rPr>
            <w:color w:val="0000FF"/>
          </w:rPr>
          <w:t>подпунктом 2.3.3.1 подпункта 2.3.3 пункта 2.3 раздела 2</w:t>
        </w:r>
      </w:hyperlink>
      <w:r>
        <w:t xml:space="preserve"> Стандарта качества транспортного обслуживания населения Белгородской области;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333375" cy="23812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общее количество рейсов, выполненных транспортными средствами при осуществлении перевозок пассажиров и багажа автомобильным транспортом и городским наземным электрическим транспортом по межмуниципальным маршрутам регулярных перевозок в пригородном сообщении и муниципальным маршрутам регулярных перевозок.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В зависимости от интервала значения показателя ему присваивается балл в соответствии с таблицей 10.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jc w:val="right"/>
        <w:outlineLvl w:val="2"/>
      </w:pPr>
      <w:r>
        <w:t>Таблица 10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Title"/>
        <w:jc w:val="center"/>
      </w:pPr>
      <w:r>
        <w:t>Оценка значений коэффициента</w:t>
      </w:r>
    </w:p>
    <w:p w:rsidR="00CB3C91" w:rsidRDefault="00CB3C91">
      <w:pPr>
        <w:pStyle w:val="ConsPlusTitle"/>
        <w:jc w:val="center"/>
      </w:pPr>
      <w:r>
        <w:t>соблюдения норм вместимости</w:t>
      </w:r>
    </w:p>
    <w:p w:rsidR="00CB3C91" w:rsidRDefault="00CB3C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1757"/>
      </w:tblGrid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Значение коэффициента соблюдения норм вместимости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Балл 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381000" cy="238125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&lt;0,1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1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0,1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2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0,2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3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0,3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4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0,4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5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0,5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6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0,6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7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0,7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8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0,8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9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0,9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10</w:t>
            </w:r>
          </w:p>
        </w:tc>
      </w:tr>
    </w:tbl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ind w:firstLine="540"/>
        <w:jc w:val="both"/>
      </w:pPr>
      <w:r>
        <w:t>4.5. Коэффициент соблюдения норм по количеству пересадок k</w:t>
      </w:r>
      <w:r>
        <w:rPr>
          <w:vertAlign w:val="subscript"/>
        </w:rPr>
        <w:t>пересад</w:t>
      </w:r>
      <w:r>
        <w:t>:</w:t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209675" cy="48577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ind w:firstLine="540"/>
        <w:jc w:val="both"/>
      </w:pPr>
      <w:r>
        <w:t>где: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609600" cy="25717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численность пассажиров, совершающих нормативное количество пересадок в соответствии с </w:t>
      </w:r>
      <w:hyperlink w:anchor="P121">
        <w:r>
          <w:rPr>
            <w:color w:val="0000FF"/>
          </w:rPr>
          <w:t>подпунктом 2.3.4 пункта 2.3 раздела 2</w:t>
        </w:r>
      </w:hyperlink>
      <w:r>
        <w:t xml:space="preserve"> Стандарта качества транспортного обслуживания населения Белгородской области при перемещении в любую точку муниципального образования в рамках одной поездки при использовании межмуниципальных маршрутов </w:t>
      </w:r>
      <w:r>
        <w:lastRenderedPageBreak/>
        <w:t>регулярных перевозок в пригородном сообщении и муниципальных маршрутов регулярных перевозок;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N</w:t>
      </w:r>
      <w:r>
        <w:rPr>
          <w:vertAlign w:val="subscript"/>
        </w:rPr>
        <w:t>пересад</w:t>
      </w:r>
      <w:r>
        <w:t xml:space="preserve"> - общая численность пассажиров, совершающих пересадки при перемещении в любую точку муниципального образования в рамках одной поездки при использовании межмуниципальных маршрутов регулярных перевозок в пригородном сообщении и муниципальных маршрутов регулярных перевозок.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В зависимости от интервала значения показателя ему присваивается балл в соответствии с таблицей 11.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jc w:val="right"/>
        <w:outlineLvl w:val="2"/>
      </w:pPr>
      <w:r>
        <w:t>Таблица 11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Title"/>
        <w:jc w:val="center"/>
      </w:pPr>
      <w:r>
        <w:t>Оценка значений коэффициента</w:t>
      </w:r>
    </w:p>
    <w:p w:rsidR="00CB3C91" w:rsidRDefault="00CB3C91">
      <w:pPr>
        <w:pStyle w:val="ConsPlusTitle"/>
        <w:jc w:val="center"/>
      </w:pPr>
      <w:r>
        <w:t>соблюдения норм по количеству пересадок</w:t>
      </w:r>
    </w:p>
    <w:p w:rsidR="00CB3C91" w:rsidRDefault="00CB3C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1757"/>
      </w:tblGrid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Значение коэффициента соблюдения норм по количеству пересадок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Балл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523875" cy="257175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&lt; 0,1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1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0,1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2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0,2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3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0,3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4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0,4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5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0,5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6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0,6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7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0,7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8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0,8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9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0,9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10</w:t>
            </w:r>
          </w:p>
        </w:tc>
      </w:tr>
    </w:tbl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ind w:firstLine="540"/>
        <w:jc w:val="both"/>
      </w:pPr>
      <w:r>
        <w:t>4.6. Доля транспортных средств высоких экологических классов Д</w:t>
      </w:r>
      <w:r>
        <w:rPr>
          <w:vertAlign w:val="subscript"/>
        </w:rPr>
        <w:t>эко</w:t>
      </w:r>
      <w:r>
        <w:t>:</w:t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143000" cy="457200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ind w:firstLine="540"/>
        <w:jc w:val="both"/>
      </w:pPr>
      <w:r>
        <w:t>где: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381000" cy="23812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транспортных средств экологического класса Евро-4 и выше, предназначенных для осуществления перевозок пассажиров и багажа по маршрутам регулярных перевозок;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Q</w:t>
      </w:r>
      <w:r>
        <w:rPr>
          <w:vertAlign w:val="subscript"/>
        </w:rPr>
        <w:t>ТС</w:t>
      </w:r>
      <w:r>
        <w:t xml:space="preserve"> - количество транспортных средств, предназначенных для осуществления перевозок пассажиров и багажа по маршрутам регулярных перевозок.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В зависимости от интервала значения показателя ему присваивается балл в соответствии с таблицей 12.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jc w:val="right"/>
        <w:outlineLvl w:val="2"/>
      </w:pPr>
      <w:r>
        <w:t>Таблица 12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Title"/>
        <w:jc w:val="center"/>
      </w:pPr>
      <w:r>
        <w:t>Оценка значений доли транспортных</w:t>
      </w:r>
    </w:p>
    <w:p w:rsidR="00CB3C91" w:rsidRDefault="00CB3C91">
      <w:pPr>
        <w:pStyle w:val="ConsPlusTitle"/>
        <w:jc w:val="center"/>
      </w:pPr>
      <w:r>
        <w:t>средств высоких экологических классов</w:t>
      </w:r>
    </w:p>
    <w:p w:rsidR="00CB3C91" w:rsidRDefault="00CB3C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1757"/>
      </w:tblGrid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lastRenderedPageBreak/>
              <w:t>Значение доли транспортных средств высоких экологических классов (%)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Балл 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419100" cy="238125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&lt; 10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1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10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2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20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3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30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4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40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5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50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6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60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7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70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8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80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9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&gt;= 90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10</w:t>
            </w:r>
          </w:p>
        </w:tc>
      </w:tr>
    </w:tbl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ind w:firstLine="540"/>
        <w:jc w:val="both"/>
      </w:pPr>
      <w:bookmarkStart w:id="8" w:name="P594"/>
      <w:bookmarkEnd w:id="8"/>
      <w:r>
        <w:t>4.7. Доля транспортных средств с превышением установленного заводом-производителем срока службы транспортного средства Д</w:t>
      </w:r>
      <w:r>
        <w:rPr>
          <w:vertAlign w:val="subscript"/>
        </w:rPr>
        <w:t>срок</w:t>
      </w:r>
      <w:r>
        <w:t>:</w:t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571625" cy="419100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ind w:firstLine="540"/>
        <w:jc w:val="both"/>
      </w:pPr>
      <w:r>
        <w:t>где: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ЧТС</w:t>
      </w:r>
      <w:r>
        <w:rPr>
          <w:vertAlign w:val="subscript"/>
        </w:rPr>
        <w:t>факт срок&gt;уст срок</w:t>
      </w:r>
      <w:r>
        <w:t xml:space="preserve"> - число транспортных средств, задействованных в транспортном обслуживании населения по регулярным маршрутам, у которых фактический срок эксплуатации превышает установленный срок службы (с учетом продления срока службы при капитальном ремонте);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ЧТС - число транспортных средств, задействованных в транспортном обслуживании населения по регулярным маршрутам.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В зависимости от интервала значения показателя ему присваивается балл в соответствии с таблицей 13.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jc w:val="right"/>
        <w:outlineLvl w:val="2"/>
      </w:pPr>
      <w:r>
        <w:t>Таблица 13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Title"/>
        <w:jc w:val="center"/>
      </w:pPr>
      <w:r>
        <w:t>Оценка качества по показателю доли транспортных средств</w:t>
      </w:r>
    </w:p>
    <w:p w:rsidR="00CB3C91" w:rsidRDefault="00CB3C91">
      <w:pPr>
        <w:pStyle w:val="ConsPlusTitle"/>
        <w:jc w:val="center"/>
      </w:pPr>
      <w:r>
        <w:t>с превышением установленного срока службы</w:t>
      </w:r>
    </w:p>
    <w:p w:rsidR="00CB3C91" w:rsidRDefault="00CB3C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3"/>
        <w:gridCol w:w="1757"/>
      </w:tblGrid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Доля транспортных средств с превышением установленного срока службы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Балл 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457200" cy="257175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&gt; 0,9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0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&lt;= 0,9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1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&lt;= 0,8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2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&lt;= 0,7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3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&lt;= 0,6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4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&lt;= 0,5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6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lastRenderedPageBreak/>
              <w:t>&lt;= 0,4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7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&lt;= 0,3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8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&lt;= 0,2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9</w:t>
            </w:r>
          </w:p>
        </w:tc>
      </w:tr>
      <w:tr w:rsidR="00CB3C91">
        <w:tc>
          <w:tcPr>
            <w:tcW w:w="7313" w:type="dxa"/>
          </w:tcPr>
          <w:p w:rsidR="00CB3C91" w:rsidRDefault="00CB3C91">
            <w:pPr>
              <w:pStyle w:val="ConsPlusNormal"/>
              <w:jc w:val="center"/>
            </w:pPr>
            <w:r>
              <w:t>&lt;= 0,1</w:t>
            </w:r>
          </w:p>
        </w:tc>
        <w:tc>
          <w:tcPr>
            <w:tcW w:w="1757" w:type="dxa"/>
          </w:tcPr>
          <w:p w:rsidR="00CB3C91" w:rsidRDefault="00CB3C91">
            <w:pPr>
              <w:pStyle w:val="ConsPlusNormal"/>
              <w:jc w:val="center"/>
            </w:pPr>
            <w:r>
              <w:t>10</w:t>
            </w:r>
          </w:p>
        </w:tc>
      </w:tr>
    </w:tbl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ind w:firstLine="540"/>
        <w:jc w:val="both"/>
      </w:pPr>
      <w:r>
        <w:t>5. Уровень качества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по маршрутам регулярных перевозок (КО) определяется по формуле:</w:t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914400" cy="42862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C91" w:rsidRDefault="00CB3C91">
      <w:pPr>
        <w:pStyle w:val="ConsPlusNormal"/>
        <w:ind w:firstLine="540"/>
        <w:jc w:val="both"/>
      </w:pPr>
    </w:p>
    <w:p w:rsidR="00CB3C91" w:rsidRDefault="00CB3C91">
      <w:pPr>
        <w:pStyle w:val="ConsPlusNormal"/>
        <w:ind w:firstLine="540"/>
        <w:jc w:val="both"/>
      </w:pPr>
      <w:r>
        <w:t>где: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Б</w:t>
      </w:r>
      <w:r>
        <w:rPr>
          <w:vertAlign w:val="subscript"/>
        </w:rPr>
        <w:t>н</w:t>
      </w:r>
      <w:r>
        <w:t xml:space="preserve"> - количество набранных баллов, посчитанное суммированием баллов, присвоенных показателям, приведенных в </w:t>
      </w:r>
      <w:hyperlink w:anchor="P145">
        <w:r>
          <w:rPr>
            <w:color w:val="0000FF"/>
          </w:rPr>
          <w:t>пунктах 2</w:t>
        </w:r>
      </w:hyperlink>
      <w:r>
        <w:t xml:space="preserve"> - </w:t>
      </w:r>
      <w:hyperlink w:anchor="P594">
        <w:r>
          <w:rPr>
            <w:color w:val="0000FF"/>
          </w:rPr>
          <w:t>4.7</w:t>
        </w:r>
      </w:hyperlink>
      <w:r>
        <w:t xml:space="preserve"> настоящей Методики;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Б</w:t>
      </w:r>
      <w:r>
        <w:rPr>
          <w:vertAlign w:val="subscript"/>
        </w:rPr>
        <w:t>м</w:t>
      </w:r>
      <w:r>
        <w:t xml:space="preserve"> - максимальное возможное количество баллов, равное 130 баллам для населенных пунктов с численностью населения менее 250 человек; 120 баллам - для остальных населенных пунктов.</w:t>
      </w:r>
    </w:p>
    <w:p w:rsidR="00CB3C91" w:rsidRDefault="00CB3C91">
      <w:pPr>
        <w:pStyle w:val="ConsPlusNormal"/>
        <w:spacing w:before="200"/>
        <w:ind w:firstLine="540"/>
        <w:jc w:val="both"/>
      </w:pPr>
      <w:r>
        <w:t>По итогам расчетов формируется вывод о качестве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в соответствии со значениями таблицы 14.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jc w:val="right"/>
        <w:outlineLvl w:val="2"/>
      </w:pPr>
      <w:r>
        <w:t>Таблица 14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Title"/>
        <w:jc w:val="center"/>
      </w:pPr>
      <w:r>
        <w:t>Оценка качества транспортного обслуживания населения</w:t>
      </w:r>
    </w:p>
    <w:p w:rsidR="00CB3C91" w:rsidRDefault="00CB3C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25"/>
        <w:gridCol w:w="6520"/>
      </w:tblGrid>
      <w:tr w:rsidR="00CB3C91">
        <w:tc>
          <w:tcPr>
            <w:tcW w:w="2525" w:type="dxa"/>
          </w:tcPr>
          <w:p w:rsidR="00CB3C91" w:rsidRDefault="00CB3C91">
            <w:pPr>
              <w:pStyle w:val="ConsPlusNormal"/>
              <w:jc w:val="center"/>
            </w:pPr>
            <w:r>
              <w:t>Интервальные значения КО</w:t>
            </w:r>
          </w:p>
        </w:tc>
        <w:tc>
          <w:tcPr>
            <w:tcW w:w="6520" w:type="dxa"/>
          </w:tcPr>
          <w:p w:rsidR="00CB3C91" w:rsidRDefault="00CB3C91">
            <w:pPr>
              <w:pStyle w:val="ConsPlusNormal"/>
              <w:jc w:val="center"/>
            </w:pPr>
            <w:r>
              <w:t>Качество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</w:tr>
      <w:tr w:rsidR="00CB3C91">
        <w:tc>
          <w:tcPr>
            <w:tcW w:w="2525" w:type="dxa"/>
          </w:tcPr>
          <w:p w:rsidR="00CB3C91" w:rsidRDefault="00CB3C91">
            <w:pPr>
              <w:pStyle w:val="ConsPlusNormal"/>
              <w:jc w:val="center"/>
            </w:pPr>
            <w:r>
              <w:t>КО &lt;= 30%</w:t>
            </w:r>
          </w:p>
        </w:tc>
        <w:tc>
          <w:tcPr>
            <w:tcW w:w="6520" w:type="dxa"/>
          </w:tcPr>
          <w:p w:rsidR="00CB3C91" w:rsidRDefault="00CB3C91">
            <w:pPr>
              <w:pStyle w:val="ConsPlusNormal"/>
              <w:jc w:val="center"/>
            </w:pPr>
            <w:r>
              <w:t>неудовлетворительное</w:t>
            </w:r>
          </w:p>
        </w:tc>
      </w:tr>
      <w:tr w:rsidR="00CB3C91">
        <w:tc>
          <w:tcPr>
            <w:tcW w:w="2525" w:type="dxa"/>
          </w:tcPr>
          <w:p w:rsidR="00CB3C91" w:rsidRDefault="00CB3C91">
            <w:pPr>
              <w:pStyle w:val="ConsPlusNormal"/>
              <w:jc w:val="center"/>
            </w:pPr>
            <w:r>
              <w:t>30% &lt; КО &lt;= 50%</w:t>
            </w:r>
          </w:p>
        </w:tc>
        <w:tc>
          <w:tcPr>
            <w:tcW w:w="6520" w:type="dxa"/>
          </w:tcPr>
          <w:p w:rsidR="00CB3C91" w:rsidRDefault="00CB3C91">
            <w:pPr>
              <w:pStyle w:val="ConsPlusNormal"/>
              <w:jc w:val="center"/>
            </w:pPr>
            <w:r>
              <w:t>минимальное</w:t>
            </w:r>
          </w:p>
        </w:tc>
      </w:tr>
      <w:tr w:rsidR="00CB3C91">
        <w:tc>
          <w:tcPr>
            <w:tcW w:w="2525" w:type="dxa"/>
          </w:tcPr>
          <w:p w:rsidR="00CB3C91" w:rsidRDefault="00CB3C91">
            <w:pPr>
              <w:pStyle w:val="ConsPlusNormal"/>
              <w:jc w:val="center"/>
            </w:pPr>
            <w:r>
              <w:t>50% &lt; КО &lt;= 80%</w:t>
            </w:r>
          </w:p>
        </w:tc>
        <w:tc>
          <w:tcPr>
            <w:tcW w:w="6520" w:type="dxa"/>
          </w:tcPr>
          <w:p w:rsidR="00CB3C91" w:rsidRDefault="00CB3C91">
            <w:pPr>
              <w:pStyle w:val="ConsPlusNormal"/>
              <w:jc w:val="center"/>
            </w:pPr>
            <w:r>
              <w:t>среднее</w:t>
            </w:r>
          </w:p>
        </w:tc>
      </w:tr>
      <w:tr w:rsidR="00CB3C91">
        <w:tc>
          <w:tcPr>
            <w:tcW w:w="2525" w:type="dxa"/>
          </w:tcPr>
          <w:p w:rsidR="00CB3C91" w:rsidRDefault="00CB3C91">
            <w:pPr>
              <w:pStyle w:val="ConsPlusNormal"/>
              <w:jc w:val="center"/>
            </w:pPr>
            <w:r>
              <w:t>КО &gt; 80%</w:t>
            </w:r>
          </w:p>
        </w:tc>
        <w:tc>
          <w:tcPr>
            <w:tcW w:w="6520" w:type="dxa"/>
          </w:tcPr>
          <w:p w:rsidR="00CB3C91" w:rsidRDefault="00CB3C91">
            <w:pPr>
              <w:pStyle w:val="ConsPlusNormal"/>
              <w:jc w:val="center"/>
            </w:pPr>
            <w:r>
              <w:t>высокое</w:t>
            </w:r>
          </w:p>
        </w:tc>
      </w:tr>
    </w:tbl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ind w:firstLine="540"/>
        <w:jc w:val="both"/>
      </w:pPr>
      <w:r>
        <w:t>По результатам оценки качества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формируется рейтинг муниципальных образований.</w:t>
      </w: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jc w:val="both"/>
      </w:pPr>
    </w:p>
    <w:p w:rsidR="00CB3C91" w:rsidRDefault="00CB3C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1DA4" w:rsidRDefault="00B11DA4"/>
    <w:sectPr w:rsidR="00B11DA4" w:rsidSect="00F5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91"/>
    <w:rsid w:val="003D15DA"/>
    <w:rsid w:val="00B11DA4"/>
    <w:rsid w:val="00CB3C91"/>
    <w:rsid w:val="00F4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CEAB"/>
  <w15:chartTrackingRefBased/>
  <w15:docId w15:val="{22CC7228-6AE2-4CA6-B4F9-74CE38CF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C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B3C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3C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CB3C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3C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CB3C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3C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3C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4B6E1C7FB5D25A05CF9FAC130D4DB24BDE1F10E3093929B7A373231D5D6DD07DC06B02F8F92F01989CDE8BC5D1807DF8A14A7B466D4EF69PC41O" TargetMode="External"/><Relationship Id="rId18" Type="http://schemas.openxmlformats.org/officeDocument/2006/relationships/hyperlink" Target="consultantplus://offline/ref=14B6E1C7FB5D25A05CF9FAC130D4DB24BDE1F10E3093929B7A373231D5D6DD07DC06B02F8F92F11C8FCDE8BC5D1807DF8A14A7B466D4EF69PC41O" TargetMode="External"/><Relationship Id="rId26" Type="http://schemas.openxmlformats.org/officeDocument/2006/relationships/image" Target="media/image6.wmf"/><Relationship Id="rId39" Type="http://schemas.openxmlformats.org/officeDocument/2006/relationships/image" Target="media/image17.wmf"/><Relationship Id="rId21" Type="http://schemas.openxmlformats.org/officeDocument/2006/relationships/image" Target="media/image3.wmf"/><Relationship Id="rId34" Type="http://schemas.openxmlformats.org/officeDocument/2006/relationships/image" Target="media/image12.wmf"/><Relationship Id="rId42" Type="http://schemas.openxmlformats.org/officeDocument/2006/relationships/hyperlink" Target="consultantplus://offline/ref=14B6E1C7FB5D25A05CF9FAC130D4DB24BDE1F10E3093929B7A373231D5D6DD07DC06B02F8F92F0158CCDE8BC5D1807DF8A14A7B466D4EF69PC41O" TargetMode="External"/><Relationship Id="rId47" Type="http://schemas.openxmlformats.org/officeDocument/2006/relationships/image" Target="media/image20.wmf"/><Relationship Id="rId50" Type="http://schemas.openxmlformats.org/officeDocument/2006/relationships/image" Target="media/image23.wmf"/><Relationship Id="rId55" Type="http://schemas.openxmlformats.org/officeDocument/2006/relationships/image" Target="media/image28.wmf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1102DA8E66499E52A8D8F271F09A77DFBDC2DA1936B58389E3D03F7D669276B1778630FE21505F6A31E3B975292A9ED749507F45BC37C9A9831215G745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4B6E1C7FB5D25A05CF9FAC130D4DB24BDE1F10E3093929B7A373231D5D6DD07DC06B02F8F92F01588CDE8BC5D1807DF8A14A7B466D4EF69PC41O" TargetMode="External"/><Relationship Id="rId20" Type="http://schemas.openxmlformats.org/officeDocument/2006/relationships/hyperlink" Target="consultantplus://offline/ref=14B6E1C7FB5D25A05CF9FAC130D4DB24BAE4F10F3691929B7A373231D5D6DD07DC06B02F8F92F01F87CDE8BC5D1807DF8A14A7B466D4EF69PC41O" TargetMode="External"/><Relationship Id="rId29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image" Target="media/image27.w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B6E1C7FB5D25A05CF9E4CC26B88129BAEEA9003B999EC92368696C82DFD7509B49E97FCBC7FD1D8BD8BDEC074F0ADCP84CO" TargetMode="External"/><Relationship Id="rId11" Type="http://schemas.openxmlformats.org/officeDocument/2006/relationships/image" Target="media/image1.wmf"/><Relationship Id="rId24" Type="http://schemas.openxmlformats.org/officeDocument/2006/relationships/hyperlink" Target="consultantplus://offline/ref=14B6E1C7FB5D25A05CF9FAC130D4DB24BCE6F0093B98929B7A373231D5D6DD07CE06E8238E96EE1D8ED8BEED1BP44FO" TargetMode="External"/><Relationship Id="rId32" Type="http://schemas.openxmlformats.org/officeDocument/2006/relationships/hyperlink" Target="consultantplus://offline/ref=14B6E1C7FB5D25A05CF9FAC130D4DB24BDE1F10E3093929B7A373231D5D6DD07DC06B02F8F92F01989CDE8BC5D1807DF8A14A7B466D4EF69PC41O" TargetMode="External"/><Relationship Id="rId37" Type="http://schemas.openxmlformats.org/officeDocument/2006/relationships/image" Target="media/image15.wmf"/><Relationship Id="rId40" Type="http://schemas.openxmlformats.org/officeDocument/2006/relationships/image" Target="media/image18.wmf"/><Relationship Id="rId45" Type="http://schemas.openxmlformats.org/officeDocument/2006/relationships/hyperlink" Target="consultantplus://offline/ref=14B6E1C7FB5D25A05CF9FAC130D4DB24BDE1F10E3093929B7A373231D5D6DD07DC06B02F8F92F11C8FCDE8BC5D1807DF8A14A7B466D4EF69PC41O" TargetMode="External"/><Relationship Id="rId53" Type="http://schemas.openxmlformats.org/officeDocument/2006/relationships/image" Target="media/image26.wmf"/><Relationship Id="rId58" Type="http://schemas.openxmlformats.org/officeDocument/2006/relationships/image" Target="media/image31.wmf"/><Relationship Id="rId5" Type="http://schemas.openxmlformats.org/officeDocument/2006/relationships/hyperlink" Target="consultantplus://offline/ref=14B6E1C7FB5D25A05CF9FAC130D4DB24BDEDF5093B95929B7A373231D5D6DD07CE06E8238E96EE1D8ED8BEED1BP44FO" TargetMode="External"/><Relationship Id="rId15" Type="http://schemas.openxmlformats.org/officeDocument/2006/relationships/hyperlink" Target="consultantplus://offline/ref=14B6E1C7FB5D25A05CF9FAC130D4DB24BDE1F10E3093929B7A373231D5D6DD07DC06B02F8F92F0158CCDE8BC5D1807DF8A14A7B466D4EF69PC41O" TargetMode="External"/><Relationship Id="rId23" Type="http://schemas.openxmlformats.org/officeDocument/2006/relationships/image" Target="media/image5.wmf"/><Relationship Id="rId28" Type="http://schemas.openxmlformats.org/officeDocument/2006/relationships/image" Target="media/image8.wmf"/><Relationship Id="rId36" Type="http://schemas.openxmlformats.org/officeDocument/2006/relationships/image" Target="media/image14.wmf"/><Relationship Id="rId49" Type="http://schemas.openxmlformats.org/officeDocument/2006/relationships/image" Target="media/image22.wmf"/><Relationship Id="rId57" Type="http://schemas.openxmlformats.org/officeDocument/2006/relationships/image" Target="media/image30.wmf"/><Relationship Id="rId61" Type="http://schemas.openxmlformats.org/officeDocument/2006/relationships/image" Target="media/image34.wmf"/><Relationship Id="rId10" Type="http://schemas.openxmlformats.org/officeDocument/2006/relationships/hyperlink" Target="consultantplus://offline/ref=14B6E1C7FB5D25A05CF9FAC130D4DB24BFECF00A3598929B7A373231D5D6DD07CE06E8238E96EE1D8ED8BEED1BP44FO" TargetMode="External"/><Relationship Id="rId19" Type="http://schemas.openxmlformats.org/officeDocument/2006/relationships/hyperlink" Target="consultantplus://offline/ref=14B6E1C7FB5D25A05CF9FAC130D4DB24BDE1F10E3093929B7A373231D5D6DD07DC06B02F8F92F11C8DCDE8BC5D1807DF8A14A7B466D4EF69PC41O" TargetMode="External"/><Relationship Id="rId31" Type="http://schemas.openxmlformats.org/officeDocument/2006/relationships/image" Target="media/image11.wmf"/><Relationship Id="rId44" Type="http://schemas.openxmlformats.org/officeDocument/2006/relationships/hyperlink" Target="consultantplus://offline/ref=14B6E1C7FB5D25A05CF9FAC130D4DB24BDE1F10E3093929B7A373231D5D6DD07DC06B02F8F92F01586CDE8BC5D1807DF8A14A7B466D4EF69PC41O" TargetMode="External"/><Relationship Id="rId52" Type="http://schemas.openxmlformats.org/officeDocument/2006/relationships/image" Target="media/image25.wmf"/><Relationship Id="rId60" Type="http://schemas.openxmlformats.org/officeDocument/2006/relationships/image" Target="media/image33.wmf"/><Relationship Id="rId4" Type="http://schemas.openxmlformats.org/officeDocument/2006/relationships/hyperlink" Target="consultantplus://offline/ref=14B6E1C7FB5D25A05CF9FAC130D4DB24BCECF0053A98929B7A373231D5D6DD07DC06B02F8F90F71889CDE8BC5D1807DF8A14A7B466D4EF69PC41O" TargetMode="External"/><Relationship Id="rId9" Type="http://schemas.openxmlformats.org/officeDocument/2006/relationships/hyperlink" Target="consultantplus://offline/ref=14B6E1C7FB5D25A05CF9FAC130D4DB24BFECF00A3598929B7A373231D5D6DD07CE06E8238E96EE1D8ED8BEED1BP44FO" TargetMode="External"/><Relationship Id="rId14" Type="http://schemas.openxmlformats.org/officeDocument/2006/relationships/hyperlink" Target="consultantplus://offline/ref=14B6E1C7FB5D25A05CF9FAC130D4DB24BDE1F10E3093929B7A373231D5D6DD07DC06B02884C6A158DACBBDE9074C0BC08C0AA4PB47O" TargetMode="External"/><Relationship Id="rId22" Type="http://schemas.openxmlformats.org/officeDocument/2006/relationships/image" Target="media/image4.wmf"/><Relationship Id="rId27" Type="http://schemas.openxmlformats.org/officeDocument/2006/relationships/image" Target="media/image7.wmf"/><Relationship Id="rId30" Type="http://schemas.openxmlformats.org/officeDocument/2006/relationships/image" Target="media/image10.wmf"/><Relationship Id="rId35" Type="http://schemas.openxmlformats.org/officeDocument/2006/relationships/image" Target="media/image13.wmf"/><Relationship Id="rId43" Type="http://schemas.openxmlformats.org/officeDocument/2006/relationships/hyperlink" Target="consultantplus://offline/ref=14B6E1C7FB5D25A05CF9FAC130D4DB24BDE1F10E3093929B7A373231D5D6DD07DC06B02F8F92F01588CDE8BC5D1807DF8A14A7B466D4EF69PC41O" TargetMode="External"/><Relationship Id="rId48" Type="http://schemas.openxmlformats.org/officeDocument/2006/relationships/image" Target="media/image21.wmf"/><Relationship Id="rId56" Type="http://schemas.openxmlformats.org/officeDocument/2006/relationships/image" Target="media/image29.wmf"/><Relationship Id="rId8" Type="http://schemas.openxmlformats.org/officeDocument/2006/relationships/hyperlink" Target="consultantplus://offline/ref=14B6E1C7FB5D25A05CF9FAC130D4DB24BCE6F0093B98929B7A373231D5D6DD07CE06E8238E96EE1D8ED8BEED1BP44FO" TargetMode="External"/><Relationship Id="rId51" Type="http://schemas.openxmlformats.org/officeDocument/2006/relationships/image" Target="media/image24.wmf"/><Relationship Id="rId3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hyperlink" Target="consultantplus://offline/ref=14B6E1C7FB5D25A05CF9FAC130D4DB24BDE1F10E3093929B7A373231D5D6DD07DC06B02F8F92F01586CDE8BC5D1807DF8A14A7B466D4EF69PC41O" TargetMode="External"/><Relationship Id="rId25" Type="http://schemas.openxmlformats.org/officeDocument/2006/relationships/hyperlink" Target="consultantplus://offline/ref=14B6E1C7FB5D25A05CF9FAC130D4DB24BFECF00A3598929B7A373231D5D6DD07CE06E8238E96EE1D8ED8BEED1BP44FO" TargetMode="External"/><Relationship Id="rId33" Type="http://schemas.openxmlformats.org/officeDocument/2006/relationships/hyperlink" Target="consultantplus://offline/ref=14B6E1C7FB5D25A05CF9FAC130D4DB24BDE1F10E3093929B7A373231D5D6DD07DC06B02884C6A158DACBBDE9074C0BC08C0AA4PB47O" TargetMode="External"/><Relationship Id="rId38" Type="http://schemas.openxmlformats.org/officeDocument/2006/relationships/image" Target="media/image16.wmf"/><Relationship Id="rId46" Type="http://schemas.openxmlformats.org/officeDocument/2006/relationships/hyperlink" Target="consultantplus://offline/ref=14B6E1C7FB5D25A05CF9FAC130D4DB24BDE1F10E3093929B7A373231D5D6DD07DC06B02F8F92F11C8DCDE8BC5D1807DF8A14A7B466D4EF69PC41O" TargetMode="External"/><Relationship Id="rId59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6268</Words>
  <Characters>35728</Characters>
  <Application>Microsoft Office Word</Application>
  <DocSecurity>0</DocSecurity>
  <Lines>297</Lines>
  <Paragraphs>83</Paragraphs>
  <ScaleCrop>false</ScaleCrop>
  <Company/>
  <LinksUpToDate>false</LinksUpToDate>
  <CharactersWithSpaces>41913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2022-11-14T14:56:00Z</dcterms:created>
  <dcterms:modified xsi:type="dcterms:W3CDTF">2022-11-14T14:56:00Z</dcterms:modified>
</cp:coreProperties>
</file>