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</w:t>
            </w:r>
            <w:r>
              <w:rPr>
                <w:b/>
                <w:sz w:val="26"/>
                <w:szCs w:val="26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</w:t>
            </w:r>
            <w:r>
              <w:rPr>
                <w:b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</w:rPr>
              <w:t xml:space="preserve">Белгородская область, р-н Старооскольский, с/т "Озерки-2" Участок 188</w:t>
            </w:r>
            <w:r>
              <w:rPr>
                <w:b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Курандину Тамару Кимовну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31:05:0507007:14 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 общей площадью 800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Белгородская область, р-н Старооскольский, с/т "Озерки-2" Участок 188</w:t>
      </w:r>
      <w: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Курандиной Тамары Кимовны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154-</w:t>
      </w:r>
      <w:r>
        <w:rPr>
          <w:sz w:val="26"/>
          <w:szCs w:val="26"/>
          <w:highlight w:val="none"/>
        </w:rPr>
        <w:t xml:space="preserve">186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2024-10-07T14:32:17Z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