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Распопову Раису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31:05:0521001:30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205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Распоповой Раисы Ивановны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129-203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