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Верхняя,  дом 29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Кищенко </w:t>
      </w:r>
      <w:r>
        <w:rPr>
          <w:sz w:val="26"/>
          <w:szCs w:val="26"/>
        </w:rPr>
        <w:t xml:space="preserve">Виталия </w:t>
      </w:r>
      <w:r>
        <w:rPr>
          <w:sz w:val="26"/>
          <w:szCs w:val="26"/>
        </w:rPr>
        <w:t xml:space="preserve">Анатольевича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31:06:0230001:12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1280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строительства индивидуального жилого дома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  <w:highlight w:val="none"/>
        </w:rPr>
        <w:t xml:space="preserve">улица Верхняя, дом 29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Кищенко </w:t>
      </w:r>
      <w:r>
        <w:rPr>
          <w:sz w:val="26"/>
          <w:szCs w:val="26"/>
        </w:rPr>
        <w:t xml:space="preserve">Виталия </w:t>
      </w:r>
      <w:r>
        <w:rPr>
          <w:sz w:val="26"/>
          <w:szCs w:val="26"/>
        </w:rPr>
        <w:t xml:space="preserve">Анатольевича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       на право собственности на землю от 22 января 1998 года № 2678,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2022-06-14T07:24:00Z</dcterms:created>
  <dcterms:modified xsi:type="dcterms:W3CDTF">2024-12-05T10:18:10Z</dcterms:modified>
</cp:coreProperties>
</file>