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88752D" w:rsidRDefault="0088752D" w:rsidP="0088752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Порядок перевода сотрудника на другую работу</w:t>
      </w:r>
    </w:p>
    <w:bookmarkEnd w:id="0"/>
    <w:p w:rsidR="0088752D" w:rsidRDefault="0088752D" w:rsidP="0088752D">
      <w:pPr>
        <w:ind w:firstLine="709"/>
        <w:jc w:val="both"/>
        <w:rPr>
          <w:sz w:val="28"/>
          <w:szCs w:val="28"/>
        </w:rPr>
      </w:pPr>
    </w:p>
    <w:p w:rsidR="0088752D" w:rsidRDefault="0088752D" w:rsidP="0088752D">
      <w:pPr>
        <w:ind w:firstLine="709"/>
        <w:jc w:val="both"/>
        <w:rPr>
          <w:sz w:val="28"/>
        </w:rPr>
      </w:pPr>
      <w:r w:rsidRPr="007C07E9">
        <w:rPr>
          <w:sz w:val="28"/>
        </w:rPr>
        <w:t>Переводом на другую работу в соответствии со ст. 72.1 Трудового кодекса РФ является постоянное или временное изменение трудовой функции работника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                     на работу в другую местность вместе с работодателем.</w:t>
      </w:r>
    </w:p>
    <w:p w:rsidR="0088752D" w:rsidRDefault="0088752D" w:rsidP="0088752D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Согласие сотрудника на перевод на другую работу по общему правилу является обязательным.</w:t>
      </w:r>
    </w:p>
    <w:p w:rsidR="0088752D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работника выражается в подписании приказа о переводе на другую работу, а также заключением дополнительного соглашения к трудовому договору. </w:t>
      </w:r>
    </w:p>
    <w:p w:rsidR="0088752D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случаях, определенных трудовым законодательством, перевод на другую работу может быть осуществлен без согласия сотрудника. В частности, не требуется согласие работника:</w:t>
      </w:r>
    </w:p>
    <w:p w:rsidR="0088752D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при </w:t>
      </w:r>
      <w:r>
        <w:rPr>
          <w:sz w:val="28"/>
          <w:szCs w:val="28"/>
        </w:rPr>
        <w:t>перемещении его у того же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если это не влечет за собой изменения определенных сторонами условий трудового договора;</w:t>
      </w:r>
    </w:p>
    <w:p w:rsidR="0088752D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случаях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части. В этом случае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последствий;</w:t>
      </w:r>
    </w:p>
    <w:p w:rsidR="0088752D" w:rsidRPr="00FE7C70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на срок до 1 месяца на не обусловленную трудовым договором работу у того же работодателя в случаях простоя, необходимости предотвращения уничтожения или порчи имущества либо замещения временно отсутствующего работника, если указанные обстоятельства вызваны чрезвычайными обстоятельствами, указанными ч. 2 ст. 72.2 ТК РФ.</w:t>
      </w:r>
    </w:p>
    <w:p w:rsidR="0088752D" w:rsidRDefault="0088752D" w:rsidP="0088752D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этом </w:t>
      </w:r>
      <w:r>
        <w:rPr>
          <w:sz w:val="28"/>
          <w:szCs w:val="28"/>
        </w:rPr>
        <w:t>перевод на работу, требующую более низкой квалификации, допускается только с письменного согласия работника. Кроме того, запрещается переводить сотрудника на работу, противопоказанную ему по состоянию здоровья.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DBE1-FFC4-41E8-9ABE-8F2B6097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2024-11-06T14:14:00Z</dcterms:created>
  <dcterms:modified xsi:type="dcterms:W3CDTF">2024-11-06T14:14:00Z</dcterms:modified>
</cp:coreProperties>
</file>