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4B85" w14:textId="77777777" w:rsidR="00E2574B" w:rsidRPr="00A35146" w:rsidRDefault="00E2574B" w:rsidP="00A35146">
      <w:pPr>
        <w:jc w:val="center"/>
        <w:rPr>
          <w:b/>
          <w:bCs/>
          <w:sz w:val="28"/>
          <w:szCs w:val="28"/>
        </w:rPr>
      </w:pPr>
      <w:r w:rsidRPr="00A35146">
        <w:rPr>
          <w:b/>
          <w:bCs/>
          <w:sz w:val="28"/>
          <w:szCs w:val="28"/>
        </w:rPr>
        <w:t>Установлен порядок осуществления государственного контроля (надзора) за соблюдением региональными операторами установленных требований при проведении капитального ремонта общего имущества в многоквартирных домах</w:t>
      </w:r>
    </w:p>
    <w:p w14:paraId="4A781A7D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Постановлением Правительства РФ от 28.09.2022 № 1702 утверждены Правила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собственности.</w:t>
      </w:r>
    </w:p>
    <w:p w14:paraId="7C9CF9E9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Указанный вид контроля (надзора) осуществляется исполнительными органами субъектов РФ, осуществляющими региональный государственный жилищный контроль (надзор). В рамках контроля проводятся профилактические мероприятия, плановые и внеплановые проверки, включающие в себя документарную проверку, выездную проверку, наблюдение за соблюдением требований, выездное обследование.</w:t>
      </w:r>
    </w:p>
    <w:p w14:paraId="2D2C4AF1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Предметом контроля (надзора) является соблюдение региональным оператором, в том числе, следующих требований:</w:t>
      </w:r>
    </w:p>
    <w:p w14:paraId="1743DD97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- требования к подготовке и направлению собственникам помещений в многоквартирном доме предложений о сроке начала капитального ремонта, необходимом перечне и объеме услуг или работ, их стоимости;</w:t>
      </w:r>
    </w:p>
    <w:p w14:paraId="21989BC3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- требования к осуществлению приемки оказанных услуг и выполненных работ по капитальному ремонту, в том числе к обеспечению создания соответствующих комиссий;</w:t>
      </w:r>
    </w:p>
    <w:p w14:paraId="769C3A43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- требования к качеству оказанных услуг и выполненных работ по капитальному ремонту в течение не менее 5 лет с момента подписания соответствующего акта приемки;</w:t>
      </w:r>
    </w:p>
    <w:p w14:paraId="627425E8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- требования, установленные законодательством об энергосбережении и о повышении энергетической эффективности.</w:t>
      </w:r>
    </w:p>
    <w:p w14:paraId="1CDF2201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Плановые контрольные (надзорные) мероприятия проводятся на основании плана-графика, который должен предусматривать их проведение один раз в 3 года. Срок проведения планового контрольного (надзорного) мероприятия в общем случае не может составлять более 30 рабочих дней.</w:t>
      </w:r>
    </w:p>
    <w:p w14:paraId="37284958" w14:textId="77777777" w:rsidR="00E2574B" w:rsidRPr="00E2574B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В случае если по результатам проведения контрольного (надзорного) мероприятия выявлено нарушение региональным оператором требований, ему выдается предписание об устранении в 30-дневный срок выявленных нарушений.</w:t>
      </w:r>
    </w:p>
    <w:p w14:paraId="1F928BAA" w14:textId="77777777" w:rsidR="00095097" w:rsidRDefault="00E2574B" w:rsidP="00A35146">
      <w:pPr>
        <w:ind w:firstLine="709"/>
        <w:jc w:val="both"/>
        <w:rPr>
          <w:sz w:val="28"/>
          <w:szCs w:val="28"/>
        </w:rPr>
      </w:pPr>
      <w:r w:rsidRPr="00E2574B">
        <w:rPr>
          <w:sz w:val="28"/>
          <w:szCs w:val="28"/>
        </w:rPr>
        <w:t>Постановление Правительства РФ вступает в силу 08.10.2022.</w:t>
      </w:r>
    </w:p>
    <w:p w14:paraId="5404B24D" w14:textId="77777777" w:rsidR="00E2574B" w:rsidRPr="00D6640C" w:rsidRDefault="00E2574B" w:rsidP="00E2574B">
      <w:pPr>
        <w:rPr>
          <w:sz w:val="28"/>
          <w:szCs w:val="28"/>
        </w:rPr>
      </w:pPr>
    </w:p>
    <w:p w14:paraId="533920FE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5146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CD932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2A15-4834-4A7E-AE27-68717E61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2022-11-14T08:14:00Z</dcterms:created>
  <dcterms:modified xsi:type="dcterms:W3CDTF">2022-12-14T06:33:00Z</dcterms:modified>
</cp:coreProperties>
</file>