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FB" w:rsidRDefault="00E333CE">
      <w:pPr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начале выполнения 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534FB">
        <w:tc>
          <w:tcPr>
            <w:tcW w:w="2013" w:type="dxa"/>
            <w:vAlign w:val="bottom"/>
          </w:tcPr>
          <w:p w:rsidR="002534FB" w:rsidRDefault="00E333C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2534FB" w:rsidRDefault="00253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2534FB" w:rsidRDefault="00253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534FB" w:rsidRDefault="00E333CE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2534FB" w:rsidRDefault="00E333CE">
      <w:pPr>
        <w:spacing w:line="57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  недвижимости,   расположенных   на   территории:  </w:t>
      </w:r>
      <w:r>
        <w:rPr>
          <w:b/>
          <w:sz w:val="24"/>
          <w:szCs w:val="24"/>
        </w:rPr>
        <w:t>Белгородской области, Старооскольский р-н, с. Песчанка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 границах   кадастровых   кварталов  с  номерами: </w:t>
      </w:r>
      <w:r>
        <w:rPr>
          <w:color w:val="000000"/>
          <w:sz w:val="24"/>
        </w:rPr>
        <w:t>31:05:0105002, 31:05:0105004, 31:05:0105005, 31:05:0105006,</w:t>
      </w:r>
      <w:r>
        <w:t xml:space="preserve"> </w:t>
      </w:r>
      <w:r>
        <w:rPr>
          <w:color w:val="000000"/>
          <w:sz w:val="24"/>
        </w:rPr>
        <w:t>31:05:0105007, 31:05:0105008, 31:05:0105009, 31:05:0105010</w:t>
      </w:r>
      <w:r>
        <w:rPr>
          <w:sz w:val="24"/>
        </w:rPr>
        <w:t xml:space="preserve">, </w:t>
      </w:r>
      <w:r>
        <w:rPr>
          <w:color w:val="000000"/>
          <w:sz w:val="24"/>
        </w:rPr>
        <w:t>31:05:0105011</w:t>
      </w:r>
      <w:r>
        <w:rPr>
          <w:sz w:val="24"/>
        </w:rPr>
        <w:t xml:space="preserve">, </w:t>
      </w:r>
      <w:r>
        <w:rPr>
          <w:color w:val="000000"/>
          <w:sz w:val="24"/>
        </w:rPr>
        <w:t>31:05:0105012</w:t>
      </w:r>
      <w:r>
        <w:rPr>
          <w:sz w:val="24"/>
        </w:rPr>
        <w:t xml:space="preserve">, </w:t>
      </w:r>
      <w:r>
        <w:rPr>
          <w:color w:val="000000"/>
          <w:sz w:val="24"/>
        </w:rPr>
        <w:t>31:05:0105014, 31:05:0105015, 31:05:0105016, 31:05:01</w:t>
      </w:r>
      <w:r>
        <w:rPr>
          <w:color w:val="000000"/>
          <w:sz w:val="24"/>
        </w:rPr>
        <w:t>05018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 xml:space="preserve">Белгородской области, Старооскольский р-н, с. Николаевка (Песчанская с/т) </w:t>
      </w:r>
      <w:r>
        <w:rPr>
          <w:sz w:val="24"/>
          <w:szCs w:val="24"/>
        </w:rPr>
        <w:t xml:space="preserve">(в  границах   кадастрового   квартала  с  номерами: 31:05:0106001),  </w:t>
      </w:r>
      <w:r>
        <w:rPr>
          <w:b/>
          <w:sz w:val="24"/>
          <w:szCs w:val="24"/>
        </w:rPr>
        <w:t xml:space="preserve">Белгородской области, Старооскольский р-н, с. Новоселовка </w:t>
      </w:r>
      <w:r>
        <w:rPr>
          <w:sz w:val="24"/>
          <w:szCs w:val="24"/>
        </w:rPr>
        <w:t>(в  границах   кадастрового   квартала  с  ном</w:t>
      </w:r>
      <w:r>
        <w:rPr>
          <w:sz w:val="24"/>
          <w:szCs w:val="24"/>
        </w:rPr>
        <w:t xml:space="preserve">ерами: 31:05:0104001), </w:t>
      </w:r>
      <w:r>
        <w:rPr>
          <w:b/>
          <w:sz w:val="24"/>
          <w:szCs w:val="24"/>
        </w:rPr>
        <w:t>Белгородской области, Старооскольский р-н, с. Николаевка (Казачанская с/т)</w:t>
      </w:r>
      <w:r>
        <w:rPr>
          <w:sz w:val="24"/>
          <w:szCs w:val="24"/>
        </w:rPr>
        <w:t xml:space="preserve"> (в  границах   кадастрового   квартала  с  номерами: 31:05:1709001), </w:t>
      </w:r>
      <w:r>
        <w:rPr>
          <w:b/>
          <w:sz w:val="24"/>
          <w:szCs w:val="24"/>
        </w:rPr>
        <w:t>Белгородской области, Старооскольский р-н, с. Приосколье</w:t>
      </w:r>
      <w:r>
        <w:rPr>
          <w:sz w:val="24"/>
          <w:szCs w:val="24"/>
        </w:rPr>
        <w:t xml:space="preserve"> (в  границах   кадастровых   ква</w:t>
      </w:r>
      <w:r>
        <w:rPr>
          <w:sz w:val="24"/>
          <w:szCs w:val="24"/>
        </w:rPr>
        <w:t xml:space="preserve">рталов  с  номерами: </w:t>
      </w:r>
      <w:r>
        <w:rPr>
          <w:color w:val="000000"/>
          <w:sz w:val="24"/>
        </w:rPr>
        <w:t>31:05:1709002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</w:rPr>
        <w:t>31:05:1709003, 31:05:1709004, 31:05:1709005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Белгородской области, Старооскольский р-н, с. Казачок</w:t>
      </w:r>
      <w:r>
        <w:rPr>
          <w:sz w:val="24"/>
          <w:szCs w:val="24"/>
        </w:rPr>
        <w:t xml:space="preserve"> (в  границах   кадастровых   кварталов  с  номерами: </w:t>
      </w:r>
      <w:r>
        <w:rPr>
          <w:color w:val="000000"/>
          <w:sz w:val="24"/>
        </w:rPr>
        <w:t>31:05:1702001, 31:05:1702002, 31:05:1702003, 31:05:1702004, 31:05:1</w:t>
      </w:r>
      <w:r>
        <w:rPr>
          <w:color w:val="000000"/>
          <w:sz w:val="24"/>
        </w:rPr>
        <w:t>702005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Белгородской области, Старооскольский р-н, с. Ивановка</w:t>
      </w:r>
      <w:r>
        <w:rPr>
          <w:sz w:val="24"/>
          <w:szCs w:val="24"/>
        </w:rPr>
        <w:t xml:space="preserve">  (в  границах кадастрового  квартала    с  номером   31:05:1702007), </w:t>
      </w:r>
      <w:r>
        <w:rPr>
          <w:b/>
          <w:sz w:val="24"/>
          <w:szCs w:val="24"/>
        </w:rPr>
        <w:t>Белгородской области, Старооскольский р-н, с. Шаталовка</w:t>
      </w:r>
      <w:r>
        <w:rPr>
          <w:sz w:val="24"/>
          <w:szCs w:val="24"/>
        </w:rPr>
        <w:t xml:space="preserve"> (в  границах   кадастровых   кварталов  с  номерами: </w:t>
      </w:r>
      <w:r>
        <w:rPr>
          <w:color w:val="000000"/>
          <w:sz w:val="24"/>
        </w:rPr>
        <w:t>31:05:1302001,</w:t>
      </w:r>
      <w:r>
        <w:rPr>
          <w:color w:val="000000"/>
          <w:sz w:val="24"/>
        </w:rPr>
        <w:t xml:space="preserve"> 31:05:1302002, 31:05:1302003, 31:05:1302004, 31:05:1302005, 31:05:1302006, 31:05:1302007, 31:05:1302008, 31:05:1302009, 31:05:1302010, 31:05:1302011, 31:05:1302012, 31:05:1302013, 31:05:1302014, 31:05:1302015</w:t>
      </w:r>
      <w:r>
        <w:rPr>
          <w:sz w:val="24"/>
          <w:szCs w:val="24"/>
        </w:rPr>
        <w:t>), будут выполняться комплексные кадастровые ра</w:t>
      </w:r>
      <w:r>
        <w:rPr>
          <w:sz w:val="24"/>
          <w:szCs w:val="24"/>
        </w:rPr>
        <w:t>боты в соответствии с муниципальным контрактом на выполнение комплексных кадастровых работ на территории Старооскольского городского округа Белгородской  области от  13 февраля 2023  года  № 471, договора субподряда от 21 февраля 2023 года №03-2023, заключ</w:t>
      </w:r>
      <w:r>
        <w:rPr>
          <w:sz w:val="24"/>
          <w:szCs w:val="24"/>
        </w:rPr>
        <w:t xml:space="preserve">енными со стороны заказчика: </w:t>
      </w:r>
    </w:p>
    <w:p w:rsidR="002534FB" w:rsidRDefault="00E333C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Департамент имущественных и земельных отношений администрации </w:t>
      </w:r>
    </w:p>
    <w:p w:rsidR="002534FB" w:rsidRDefault="00E333CE">
      <w:pPr>
        <w:jc w:val="center"/>
        <w:rPr>
          <w:sz w:val="2"/>
          <w:szCs w:val="2"/>
          <w:u w:val="single"/>
        </w:rPr>
      </w:pPr>
      <w:r>
        <w:rPr>
          <w:sz w:val="24"/>
          <w:szCs w:val="24"/>
          <w:u w:val="single"/>
        </w:rPr>
        <w:t>Старооскольского городского округа Белгородской области</w:t>
      </w:r>
    </w:p>
    <w:p w:rsidR="002534FB" w:rsidRDefault="00E333CE">
      <w:pPr>
        <w:rPr>
          <w:sz w:val="2"/>
          <w:szCs w:val="2"/>
        </w:rPr>
      </w:pPr>
      <w:r>
        <w:rPr>
          <w:sz w:val="24"/>
          <w:szCs w:val="24"/>
        </w:rPr>
        <w:t>почтовый    адрес:   309514,   Белгородская    область,    г.  Старый   Оскол,   ул.   Ленина,   д. 82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2534FB">
        <w:trPr>
          <w:trHeight w:val="80"/>
        </w:trPr>
        <w:tc>
          <w:tcPr>
            <w:tcW w:w="2807" w:type="dxa"/>
            <w:vAlign w:val="bottom"/>
          </w:tcPr>
          <w:p w:rsidR="002534FB" w:rsidRDefault="00E33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534FB" w:rsidRDefault="002534FB">
            <w:pPr>
              <w:jc w:val="center"/>
              <w:rPr>
                <w:sz w:val="24"/>
                <w:szCs w:val="24"/>
              </w:rPr>
            </w:pPr>
            <w:hyperlink r:id="rId8" w:tooltip="mailto:mzksgo@yandex.rг" w:history="1">
              <w:r w:rsidR="00E333CE">
                <w:rPr>
                  <w:rStyle w:val="af6"/>
                  <w:color w:val="auto"/>
                  <w:sz w:val="24"/>
                  <w:szCs w:val="24"/>
                  <w:u w:val="none"/>
                </w:rPr>
                <w:t>mzksgo@yandex.r</w:t>
              </w:r>
            </w:hyperlink>
            <w:r w:rsidR="00E333CE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3231" w:type="dxa"/>
            <w:vAlign w:val="bottom"/>
          </w:tcPr>
          <w:p w:rsidR="002534FB" w:rsidRDefault="00E333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534FB" w:rsidRDefault="00E3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8(4725)39-52-66</w:t>
            </w:r>
          </w:p>
        </w:tc>
      </w:tr>
    </w:tbl>
    <w:p w:rsidR="002534FB" w:rsidRDefault="00E333CE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2534FB" w:rsidRDefault="00E333CE">
      <w:pPr>
        <w:tabs>
          <w:tab w:val="right" w:pos="9922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Общество с ограниченной ответственностью «Синтез геодезии и картографии»;</w:t>
      </w:r>
    </w:p>
    <w:p w:rsidR="002534FB" w:rsidRDefault="00E333CE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>фами</w:t>
      </w:r>
      <w:r>
        <w:rPr>
          <w:sz w:val="24"/>
          <w:szCs w:val="24"/>
        </w:rPr>
        <w:t xml:space="preserve">лия,  имя, отчество (при наличии) кадастрового инженера   </w:t>
      </w:r>
      <w:r>
        <w:rPr>
          <w:sz w:val="22"/>
          <w:szCs w:val="22"/>
        </w:rPr>
        <w:t>Брик Вячеслав Аркадьевич;</w:t>
      </w:r>
    </w:p>
    <w:p w:rsidR="002534FB" w:rsidRDefault="002534FB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2534FB" w:rsidRDefault="00E333C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СРО  АКИ «Поволжье»;</w:t>
      </w:r>
    </w:p>
    <w:p w:rsidR="002534FB" w:rsidRDefault="00E333C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1132;</w:t>
      </w:r>
    </w:p>
    <w:p w:rsidR="002534FB" w:rsidRDefault="002534F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534FB" w:rsidRDefault="00E333C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</w:t>
      </w:r>
      <w:r>
        <w:rPr>
          <w:sz w:val="24"/>
          <w:szCs w:val="24"/>
        </w:rPr>
        <w:t>стровых инженеров: 22 ноября 2016 года;</w:t>
      </w:r>
    </w:p>
    <w:p w:rsidR="002534FB" w:rsidRDefault="002534F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534FB" w:rsidRDefault="00E333CE">
      <w:pPr>
        <w:tabs>
          <w:tab w:val="right" w:pos="9922"/>
        </w:tabs>
        <w:rPr>
          <w:sz w:val="22"/>
          <w:szCs w:val="22"/>
        </w:rPr>
      </w:pPr>
      <w:r>
        <w:rPr>
          <w:sz w:val="24"/>
          <w:szCs w:val="24"/>
        </w:rPr>
        <w:t xml:space="preserve">почтовый адрес: </w:t>
      </w:r>
      <w:r>
        <w:rPr>
          <w:sz w:val="22"/>
          <w:szCs w:val="22"/>
        </w:rPr>
        <w:t>308023, г. Белгород, ул. Студенческая, д. 17В, оф. 16</w:t>
      </w:r>
    </w:p>
    <w:p w:rsidR="002534FB" w:rsidRDefault="002534F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534FB" w:rsidRDefault="00E333CE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 sintezgik@mail.ru</w:t>
      </w:r>
    </w:p>
    <w:p w:rsidR="002534FB" w:rsidRDefault="002534F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534FB" w:rsidRDefault="00E333CE">
      <w:pPr>
        <w:ind w:left="-611" w:firstLine="611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8-950-715-72-89;</w:t>
      </w:r>
    </w:p>
    <w:p w:rsidR="002534FB" w:rsidRDefault="00E333C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Правообладатели объектов недвижимости, которые счит</w:t>
      </w:r>
      <w:r>
        <w:rPr>
          <w:sz w:val="22"/>
          <w:szCs w:val="22"/>
        </w:rPr>
        <w:t>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f4"/>
          <w:sz w:val="22"/>
          <w:szCs w:val="22"/>
        </w:rPr>
        <w:endnoteReference w:customMarkFollows="1" w:id="1"/>
        <w:t>5</w:t>
      </w:r>
      <w:r>
        <w:rPr>
          <w:sz w:val="22"/>
          <w:szCs w:val="22"/>
        </w:rPr>
        <w:t xml:space="preserve"> ранее учтенными или сведения о которых в соответствии с частью 9 статьи 69 Федерального закона от 13 июля 2015 года № </w:t>
      </w:r>
      <w:r>
        <w:rPr>
          <w:sz w:val="22"/>
          <w:szCs w:val="22"/>
        </w:rPr>
        <w:t>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</w:t>
      </w:r>
      <w:r>
        <w:rPr>
          <w:sz w:val="22"/>
          <w:szCs w:val="22"/>
        </w:rPr>
        <w:t>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</w:t>
      </w:r>
      <w:r>
        <w:rPr>
          <w:sz w:val="22"/>
          <w:szCs w:val="22"/>
        </w:rPr>
        <w:t>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534FB" w:rsidRDefault="00E333CE">
      <w:pPr>
        <w:tabs>
          <w:tab w:val="right" w:pos="9922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 Правообладатели о</w:t>
      </w:r>
      <w:r>
        <w:rPr>
          <w:sz w:val="22"/>
          <w:szCs w:val="22"/>
        </w:rPr>
        <w:t xml:space="preserve">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</w:t>
      </w:r>
      <w:r>
        <w:rPr>
          <w:sz w:val="22"/>
          <w:szCs w:val="22"/>
        </w:rPr>
        <w:t>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</w:t>
      </w:r>
      <w:r>
        <w:rPr>
          <w:sz w:val="22"/>
          <w:szCs w:val="22"/>
        </w:rPr>
        <w:t xml:space="preserve">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</w:t>
      </w:r>
      <w:r>
        <w:rPr>
          <w:sz w:val="22"/>
          <w:szCs w:val="22"/>
        </w:rPr>
        <w:t>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</w:t>
      </w:r>
      <w:r>
        <w:rPr>
          <w:sz w:val="22"/>
          <w:szCs w:val="22"/>
        </w:rPr>
        <w:t>абот и о проведении заседания согласительной комиссии по вопросу согласования местоположения границ земельных участков.</w:t>
      </w:r>
    </w:p>
    <w:p w:rsidR="002534FB" w:rsidRDefault="00E333C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 Правообладатели объектов недвижимости, расп</w:t>
      </w:r>
      <w:r>
        <w:rPr>
          <w:sz w:val="22"/>
          <w:szCs w:val="22"/>
        </w:rPr>
        <w:t>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534FB" w:rsidRDefault="00E333CE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График выполнения комплексных кадастровых работ: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4711"/>
        <w:gridCol w:w="4736"/>
      </w:tblGrid>
      <w:tr w:rsidR="002534FB">
        <w:trPr>
          <w:trHeight w:val="476"/>
        </w:trPr>
        <w:tc>
          <w:tcPr>
            <w:tcW w:w="595" w:type="dxa"/>
            <w:vAlign w:val="center"/>
          </w:tcPr>
          <w:p w:rsidR="002534FB" w:rsidRDefault="00E333CE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711" w:type="dxa"/>
            <w:vAlign w:val="center"/>
          </w:tcPr>
          <w:p w:rsidR="002534FB" w:rsidRDefault="00E333CE">
            <w:pPr>
              <w:jc w:val="center"/>
            </w:pPr>
            <w:r>
              <w:t>Место выполнения </w:t>
            </w:r>
            <w:r>
              <w:br/>
              <w:t>комплексных кадастровых работ</w:t>
            </w:r>
          </w:p>
        </w:tc>
        <w:tc>
          <w:tcPr>
            <w:tcW w:w="4736" w:type="dxa"/>
            <w:vAlign w:val="center"/>
          </w:tcPr>
          <w:p w:rsidR="002534FB" w:rsidRDefault="00E333CE">
            <w:pPr>
              <w:jc w:val="center"/>
            </w:pPr>
            <w:r>
              <w:t>Время выполнения </w:t>
            </w:r>
            <w:r>
              <w:br/>
              <w:t>комплексных кадастровых работ</w:t>
            </w:r>
          </w:p>
        </w:tc>
      </w:tr>
      <w:tr w:rsidR="002534FB">
        <w:trPr>
          <w:trHeight w:val="415"/>
        </w:trPr>
        <w:tc>
          <w:tcPr>
            <w:tcW w:w="595" w:type="dxa"/>
            <w:vAlign w:val="center"/>
          </w:tcPr>
          <w:p w:rsidR="002534FB" w:rsidRDefault="00E333CE">
            <w:pPr>
              <w:jc w:val="center"/>
            </w:pPr>
            <w:r>
              <w:t>1.</w:t>
            </w:r>
          </w:p>
        </w:tc>
        <w:tc>
          <w:tcPr>
            <w:tcW w:w="4711" w:type="dxa"/>
          </w:tcPr>
          <w:p w:rsidR="002534FB" w:rsidRDefault="00E333CE">
            <w:pPr>
              <w:keepLines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Белгородская обл., Старооскольский городской округ:</w:t>
            </w:r>
          </w:p>
          <w:p w:rsidR="002534FB" w:rsidRDefault="00E333CE">
            <w:pPr>
              <w:keepLines/>
              <w:jc w:val="both"/>
              <w:rPr>
                <w:rFonts w:eastAsia="DejaVu Sans"/>
                <w:color w:val="000000"/>
              </w:rPr>
            </w:pPr>
            <w:r>
              <w:rPr>
                <w:bCs/>
                <w:color w:val="000000"/>
              </w:rPr>
              <w:t xml:space="preserve"> - </w:t>
            </w:r>
            <w:r>
              <w:rPr>
                <w:rFonts w:eastAsia="DejaVu Sans"/>
                <w:color w:val="000000"/>
              </w:rPr>
              <w:t>сбор документов, содержащих необходимые для выполнения комплексных кадастровых работ исходные данные;</w:t>
            </w:r>
          </w:p>
          <w:p w:rsidR="002534FB" w:rsidRDefault="00E333CE">
            <w:pPr>
              <w:keepLines/>
              <w:jc w:val="both"/>
              <w:rPr>
                <w:rFonts w:eastAsia="DejaVu Sans"/>
                <w:color w:val="000000"/>
              </w:rPr>
            </w:pPr>
            <w:r>
              <w:rPr>
                <w:rFonts w:eastAsia="DejaVu Sans"/>
                <w:color w:val="000000"/>
              </w:rPr>
              <w:t xml:space="preserve"> - определение координат характерных точек границ (контуров) объектов недвижимости;</w:t>
            </w:r>
          </w:p>
          <w:p w:rsidR="002534FB" w:rsidRDefault="00E333CE">
            <w:pPr>
              <w:keepLines/>
              <w:jc w:val="both"/>
              <w:rPr>
                <w:rFonts w:eastAsia="DejaVu Sans"/>
                <w:lang w:eastAsia="ar-SA"/>
              </w:rPr>
            </w:pPr>
            <w:r>
              <w:rPr>
                <w:rFonts w:eastAsia="DejaVu Sans"/>
                <w:lang w:eastAsia="ar-SA"/>
              </w:rPr>
              <w:t>- подготовка проектов карта-планов территории</w:t>
            </w:r>
          </w:p>
        </w:tc>
        <w:tc>
          <w:tcPr>
            <w:tcW w:w="4736" w:type="dxa"/>
            <w:vAlign w:val="center"/>
          </w:tcPr>
          <w:p w:rsidR="002534FB" w:rsidRDefault="00E33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.202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года</w:t>
            </w:r>
          </w:p>
          <w:p w:rsidR="002534FB" w:rsidRDefault="00E333CE">
            <w:pPr>
              <w:jc w:val="center"/>
            </w:pPr>
            <w:r>
              <w:rPr>
                <w:color w:val="000000"/>
              </w:rPr>
              <w:t xml:space="preserve"> до </w:t>
            </w:r>
            <w:r>
              <w:rPr>
                <w:color w:val="000000"/>
                <w:lang w:val="en-US"/>
              </w:rPr>
              <w:t>01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.202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года</w:t>
            </w:r>
          </w:p>
        </w:tc>
      </w:tr>
      <w:tr w:rsidR="002534FB">
        <w:trPr>
          <w:trHeight w:val="415"/>
        </w:trPr>
        <w:tc>
          <w:tcPr>
            <w:tcW w:w="595" w:type="dxa"/>
            <w:vAlign w:val="center"/>
          </w:tcPr>
          <w:p w:rsidR="002534FB" w:rsidRDefault="00E333CE">
            <w:pPr>
              <w:jc w:val="center"/>
            </w:pPr>
            <w:r>
              <w:t>2.</w:t>
            </w:r>
          </w:p>
        </w:tc>
        <w:tc>
          <w:tcPr>
            <w:tcW w:w="4711" w:type="dxa"/>
          </w:tcPr>
          <w:p w:rsidR="002534FB" w:rsidRDefault="00E333CE">
            <w:pPr>
              <w:rPr>
                <w:rFonts w:eastAsia="DejaVu Sans"/>
              </w:rPr>
            </w:pPr>
            <w:r>
              <w:rPr>
                <w:rFonts w:eastAsia="DejaVu Sans"/>
              </w:rPr>
              <w:t xml:space="preserve"> - оформление карты-плана территории в окончательной редакции;</w:t>
            </w:r>
            <w:r>
              <w:rPr>
                <w:rFonts w:eastAsia="Calibri"/>
              </w:rPr>
              <w:t xml:space="preserve"> </w:t>
            </w:r>
          </w:p>
          <w:p w:rsidR="002534FB" w:rsidRDefault="00E333CE">
            <w:pPr>
              <w:tabs>
                <w:tab w:val="left" w:pos="277"/>
              </w:tabs>
              <w:jc w:val="both"/>
              <w:rPr>
                <w:rFonts w:eastAsia="DejaVu Sans"/>
              </w:rPr>
            </w:pPr>
            <w:r>
              <w:rPr>
                <w:rFonts w:eastAsia="DejaVu Sans"/>
              </w:rPr>
              <w:t xml:space="preserve"> - представление выходных материалов Заказчику работ.</w:t>
            </w:r>
          </w:p>
        </w:tc>
        <w:tc>
          <w:tcPr>
            <w:tcW w:w="4736" w:type="dxa"/>
            <w:vAlign w:val="center"/>
          </w:tcPr>
          <w:p w:rsidR="002534FB" w:rsidRDefault="00E333CE">
            <w:pPr>
              <w:tabs>
                <w:tab w:val="left" w:pos="918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</w:t>
            </w:r>
            <w:r>
              <w:rPr>
                <w:bCs/>
                <w:color w:val="000000"/>
                <w:lang w:val="en-US"/>
              </w:rPr>
              <w:t>01</w:t>
            </w:r>
            <w:r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 xml:space="preserve"> года </w:t>
            </w:r>
          </w:p>
          <w:p w:rsidR="002534FB" w:rsidRDefault="00E333CE">
            <w:pPr>
              <w:tabs>
                <w:tab w:val="left" w:pos="9180"/>
              </w:tabs>
              <w:jc w:val="center"/>
            </w:pPr>
            <w:r>
              <w:rPr>
                <w:bCs/>
                <w:color w:val="000000"/>
              </w:rPr>
              <w:t>до 1</w:t>
            </w:r>
            <w:r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  <w:lang w:val="en-US"/>
              </w:rPr>
              <w:t>08</w:t>
            </w:r>
            <w:r>
              <w:rPr>
                <w:bCs/>
                <w:color w:val="000000"/>
              </w:rPr>
              <w:t>.202</w:t>
            </w: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 xml:space="preserve"> года</w:t>
            </w:r>
            <w:r>
              <w:rPr>
                <w:bCs/>
                <w:color w:val="000000"/>
              </w:rPr>
              <w:br/>
            </w:r>
          </w:p>
          <w:p w:rsidR="002534FB" w:rsidRDefault="002534FB">
            <w:pPr>
              <w:jc w:val="center"/>
            </w:pPr>
          </w:p>
        </w:tc>
      </w:tr>
    </w:tbl>
    <w:p w:rsidR="002534FB" w:rsidRDefault="002534FB">
      <w:pPr>
        <w:tabs>
          <w:tab w:val="left" w:pos="2310"/>
        </w:tabs>
        <w:rPr>
          <w:sz w:val="24"/>
          <w:szCs w:val="24"/>
        </w:rPr>
      </w:pPr>
    </w:p>
    <w:p w:rsidR="002534FB" w:rsidRDefault="002534FB">
      <w:pPr>
        <w:tabs>
          <w:tab w:val="left" w:pos="2310"/>
        </w:tabs>
        <w:rPr>
          <w:sz w:val="24"/>
          <w:szCs w:val="24"/>
        </w:rPr>
      </w:pPr>
    </w:p>
    <w:p w:rsidR="002534FB" w:rsidRDefault="002534FB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p w:rsidR="008D3DB5" w:rsidRDefault="008D3DB5">
      <w:pPr>
        <w:tabs>
          <w:tab w:val="left" w:pos="2310"/>
        </w:tabs>
        <w:rPr>
          <w:sz w:val="24"/>
          <w:szCs w:val="24"/>
        </w:rPr>
      </w:pPr>
    </w:p>
    <w:sectPr w:rsidR="008D3DB5" w:rsidSect="002534FB">
      <w:pgSz w:w="11907" w:h="16840"/>
      <w:pgMar w:top="851" w:right="851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CE" w:rsidRDefault="00E333CE">
      <w:r>
        <w:separator/>
      </w:r>
    </w:p>
  </w:endnote>
  <w:endnote w:type="continuationSeparator" w:id="0">
    <w:p w:rsidR="00E333CE" w:rsidRDefault="00E333CE">
      <w:r>
        <w:continuationSeparator/>
      </w:r>
    </w:p>
  </w:endnote>
  <w:endnote w:id="1">
    <w:p w:rsidR="002534FB" w:rsidRDefault="002534FB">
      <w:pPr>
        <w:pStyle w:val="ac"/>
        <w:tabs>
          <w:tab w:val="left" w:pos="1515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CE" w:rsidRDefault="00E333CE">
      <w:r>
        <w:separator/>
      </w:r>
    </w:p>
  </w:footnote>
  <w:footnote w:type="continuationSeparator" w:id="0">
    <w:p w:rsidR="00E333CE" w:rsidRDefault="00E3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4FB"/>
    <w:rsid w:val="0016673B"/>
    <w:rsid w:val="002534FB"/>
    <w:rsid w:val="008D3DB5"/>
    <w:rsid w:val="00E3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534F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534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534F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534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534F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534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534F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534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534F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534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534F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534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534F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534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534F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534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534F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534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534FB"/>
    <w:pPr>
      <w:ind w:left="720"/>
      <w:contextualSpacing/>
    </w:pPr>
  </w:style>
  <w:style w:type="paragraph" w:styleId="a4">
    <w:name w:val="No Spacing"/>
    <w:uiPriority w:val="1"/>
    <w:qFormat/>
    <w:rsid w:val="002534FB"/>
  </w:style>
  <w:style w:type="paragraph" w:styleId="a5">
    <w:name w:val="Title"/>
    <w:basedOn w:val="a"/>
    <w:next w:val="a"/>
    <w:link w:val="a6"/>
    <w:uiPriority w:val="10"/>
    <w:qFormat/>
    <w:rsid w:val="002534F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534F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534F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534F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34F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34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53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534FB"/>
    <w:rPr>
      <w:i/>
    </w:rPr>
  </w:style>
  <w:style w:type="character" w:customStyle="1" w:styleId="HeaderChar">
    <w:name w:val="Header Char"/>
    <w:basedOn w:val="a0"/>
    <w:link w:val="Header"/>
    <w:uiPriority w:val="99"/>
    <w:rsid w:val="002534FB"/>
  </w:style>
  <w:style w:type="character" w:customStyle="1" w:styleId="FooterChar">
    <w:name w:val="Footer Char"/>
    <w:basedOn w:val="a0"/>
    <w:link w:val="Footer"/>
    <w:uiPriority w:val="99"/>
    <w:rsid w:val="002534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534F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534FB"/>
  </w:style>
  <w:style w:type="table" w:customStyle="1" w:styleId="TableGridLight">
    <w:name w:val="Table Grid Light"/>
    <w:basedOn w:val="a1"/>
    <w:uiPriority w:val="59"/>
    <w:rsid w:val="002534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34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534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34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34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34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34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34F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34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2534FB"/>
    <w:rPr>
      <w:sz w:val="18"/>
    </w:rPr>
  </w:style>
  <w:style w:type="character" w:customStyle="1" w:styleId="EndnoteTextChar">
    <w:name w:val="Endnote Text Char"/>
    <w:link w:val="ac"/>
    <w:uiPriority w:val="99"/>
    <w:rsid w:val="002534FB"/>
    <w:rPr>
      <w:sz w:val="20"/>
    </w:rPr>
  </w:style>
  <w:style w:type="paragraph" w:styleId="1">
    <w:name w:val="toc 1"/>
    <w:basedOn w:val="a"/>
    <w:next w:val="a"/>
    <w:uiPriority w:val="39"/>
    <w:unhideWhenUsed/>
    <w:rsid w:val="002534FB"/>
    <w:pPr>
      <w:spacing w:after="57"/>
    </w:pPr>
  </w:style>
  <w:style w:type="paragraph" w:styleId="21">
    <w:name w:val="toc 2"/>
    <w:basedOn w:val="a"/>
    <w:next w:val="a"/>
    <w:uiPriority w:val="39"/>
    <w:unhideWhenUsed/>
    <w:rsid w:val="002534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34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34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34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34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34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34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34FB"/>
    <w:pPr>
      <w:spacing w:after="57"/>
      <w:ind w:left="2268"/>
    </w:pPr>
  </w:style>
  <w:style w:type="paragraph" w:styleId="ad">
    <w:name w:val="TOC Heading"/>
    <w:uiPriority w:val="39"/>
    <w:unhideWhenUsed/>
    <w:rsid w:val="002534FB"/>
  </w:style>
  <w:style w:type="paragraph" w:styleId="ae">
    <w:name w:val="table of figures"/>
    <w:basedOn w:val="a"/>
    <w:next w:val="a"/>
    <w:uiPriority w:val="99"/>
    <w:unhideWhenUsed/>
    <w:rsid w:val="002534FB"/>
  </w:style>
  <w:style w:type="paragraph" w:customStyle="1" w:styleId="Header">
    <w:name w:val="Header"/>
    <w:basedOn w:val="a"/>
    <w:link w:val="af"/>
    <w:uiPriority w:val="99"/>
    <w:rsid w:val="002534FB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Header"/>
    <w:uiPriority w:val="99"/>
    <w:semiHidden/>
    <w:rsid w:val="002534FB"/>
    <w:rPr>
      <w:sz w:val="20"/>
      <w:szCs w:val="20"/>
    </w:rPr>
  </w:style>
  <w:style w:type="paragraph" w:customStyle="1" w:styleId="Footer">
    <w:name w:val="Footer"/>
    <w:basedOn w:val="a"/>
    <w:link w:val="af0"/>
    <w:uiPriority w:val="99"/>
    <w:rsid w:val="002534FB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Footer"/>
    <w:uiPriority w:val="99"/>
    <w:semiHidden/>
    <w:rsid w:val="002534FB"/>
    <w:rPr>
      <w:sz w:val="20"/>
      <w:szCs w:val="20"/>
    </w:rPr>
  </w:style>
  <w:style w:type="paragraph" w:styleId="ab">
    <w:name w:val="footnote text"/>
    <w:basedOn w:val="a"/>
    <w:link w:val="af1"/>
    <w:uiPriority w:val="99"/>
    <w:semiHidden/>
    <w:rsid w:val="002534FB"/>
  </w:style>
  <w:style w:type="character" w:customStyle="1" w:styleId="af1">
    <w:name w:val="Текст сноски Знак"/>
    <w:basedOn w:val="a0"/>
    <w:link w:val="ab"/>
    <w:uiPriority w:val="99"/>
    <w:semiHidden/>
    <w:rsid w:val="002534FB"/>
    <w:rPr>
      <w:sz w:val="20"/>
      <w:szCs w:val="20"/>
    </w:rPr>
  </w:style>
  <w:style w:type="character" w:styleId="af2">
    <w:name w:val="footnote reference"/>
    <w:basedOn w:val="a0"/>
    <w:uiPriority w:val="99"/>
    <w:semiHidden/>
    <w:rsid w:val="002534FB"/>
    <w:rPr>
      <w:rFonts w:cs="Times New Roman"/>
      <w:vertAlign w:val="superscript"/>
    </w:rPr>
  </w:style>
  <w:style w:type="paragraph" w:styleId="ac">
    <w:name w:val="endnote text"/>
    <w:basedOn w:val="a"/>
    <w:link w:val="af3"/>
    <w:uiPriority w:val="99"/>
    <w:semiHidden/>
    <w:rsid w:val="002534FB"/>
  </w:style>
  <w:style w:type="character" w:customStyle="1" w:styleId="af3">
    <w:name w:val="Текст концевой сноски Знак"/>
    <w:basedOn w:val="a0"/>
    <w:link w:val="ac"/>
    <w:uiPriority w:val="99"/>
    <w:semiHidden/>
    <w:rsid w:val="002534FB"/>
    <w:rPr>
      <w:sz w:val="20"/>
      <w:szCs w:val="20"/>
    </w:rPr>
  </w:style>
  <w:style w:type="character" w:styleId="af4">
    <w:name w:val="endnote reference"/>
    <w:basedOn w:val="a0"/>
    <w:uiPriority w:val="99"/>
    <w:semiHidden/>
    <w:rsid w:val="002534FB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253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nhideWhenUsed/>
    <w:rsid w:val="00253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sgo@yandex.r&#107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2FE40C0-9E46-49CF-86E2-D4CFA6B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Фирсова</cp:lastModifiedBy>
  <cp:revision>4</cp:revision>
  <cp:lastPrinted>2023-02-22T12:38:00Z</cp:lastPrinted>
  <dcterms:created xsi:type="dcterms:W3CDTF">2023-02-22T10:42:00Z</dcterms:created>
  <dcterms:modified xsi:type="dcterms:W3CDTF">2023-02-22T12:57:00Z</dcterms:modified>
</cp:coreProperties>
</file>