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A45FB" w14:textId="77777777" w:rsidR="008C7227" w:rsidRDefault="0064519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14:paraId="02ABAD44" w14:textId="77777777" w:rsidR="008C7227" w:rsidRDefault="0064519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0F22BF94" w14:textId="77777777" w:rsidR="008C7227" w:rsidRDefault="008C7227">
      <w:pPr>
        <w:spacing w:after="0" w:line="240" w:lineRule="auto"/>
        <w:jc w:val="center"/>
        <w:rPr>
          <w:b/>
          <w:bCs/>
        </w:rPr>
      </w:pPr>
    </w:p>
    <w:p w14:paraId="431C5B3F" w14:textId="5F055DF6" w:rsidR="008C7227" w:rsidRDefault="00833601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596050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31E55F7F" w14:textId="77777777" w:rsidR="008C7227" w:rsidRDefault="008C7227">
      <w:pPr>
        <w:spacing w:after="0" w:line="240" w:lineRule="auto"/>
        <w:rPr>
          <w:rFonts w:cs="Calibri"/>
          <w:b/>
          <w:bCs/>
        </w:rPr>
      </w:pPr>
    </w:p>
    <w:p w14:paraId="478D5C49" w14:textId="77777777" w:rsidR="008C7227" w:rsidRDefault="0064519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151A2B7F" w14:textId="77777777" w:rsidR="008C7227" w:rsidRDefault="0064519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28036BD9" w14:textId="77777777" w:rsidR="008C7227" w:rsidRDefault="008C722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4D2CF7" w14:textId="77777777" w:rsidR="008C7227" w:rsidRDefault="0064519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79C2BDFE" w14:textId="77777777" w:rsidR="008C7227" w:rsidRDefault="008C722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EFFB74E" w14:textId="5E57DE89" w:rsidR="008C7227" w:rsidRDefault="0064519D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bookmarkStart w:id="0" w:name="_GoBack"/>
      <w:bookmarkEnd w:id="0"/>
      <w:r w:rsidR="00833601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19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833601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августа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</w:t>
      </w:r>
      <w:r w:rsidR="00833601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№ </w:t>
      </w:r>
      <w:r w:rsidR="00833601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71-01-03</w:t>
      </w:r>
    </w:p>
    <w:p w14:paraId="7327F2E4" w14:textId="77777777" w:rsidR="008C7227" w:rsidRDefault="008C7227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E9E0093" w14:textId="77777777" w:rsidR="008C7227" w:rsidRDefault="008C7227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E88E908" w14:textId="77777777" w:rsidR="008C7227" w:rsidRDefault="0064519D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1560CBC0" w14:textId="77777777" w:rsidR="008C7227" w:rsidRDefault="008C72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D753155" w14:textId="77777777" w:rsidR="008C7227" w:rsidRDefault="008C72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3F266A4" w14:textId="77777777" w:rsidR="008C7227" w:rsidRDefault="0064519D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1558767A" w14:textId="77777777" w:rsidR="008C7227" w:rsidRDefault="008C722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C5D213" w14:textId="77777777" w:rsidR="008C7227" w:rsidRDefault="0064519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2919261A" w14:textId="77777777" w:rsidR="008C7227" w:rsidRDefault="008C7227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44D78F62" w14:textId="77777777" w:rsidR="008C7227" w:rsidRDefault="0064519D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Назначить общественные обсуждения по проекту решения о предоставлении разрешения на условно разрешенный вид использования земельного участка с кадастровым номером 31:06:0201012:900,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расположенного </w:t>
      </w:r>
      <w:r>
        <w:rPr>
          <w:rFonts w:ascii="Times New Roman" w:hAnsi="Times New Roman"/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город Старый Оскол, проспект Белогорский, земельный участок 2.</w:t>
      </w:r>
    </w:p>
    <w:p w14:paraId="1CA47793" w14:textId="2331AE04" w:rsidR="008C7227" w:rsidRDefault="0064519D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АО «</w:t>
      </w:r>
      <w:r w:rsidR="00D8356E">
        <w:rPr>
          <w:rFonts w:ascii="Times New Roman" w:hAnsi="Times New Roman"/>
          <w:sz w:val="26"/>
          <w:szCs w:val="26"/>
        </w:rPr>
        <w:t>Белгородская ипотечная корпорация</w:t>
      </w:r>
      <w:r>
        <w:rPr>
          <w:rFonts w:ascii="Times New Roman" w:hAnsi="Times New Roman"/>
          <w:sz w:val="26"/>
          <w:szCs w:val="26"/>
        </w:rPr>
        <w:t>».</w:t>
      </w:r>
    </w:p>
    <w:p w14:paraId="6C8BF520" w14:textId="77777777" w:rsidR="008C7227" w:rsidRDefault="0064519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5047CBB4" w14:textId="77777777" w:rsidR="008C7227" w:rsidRDefault="0064519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со 02 сентября 2024 года по 09 сентября 2024 года.</w:t>
      </w:r>
    </w:p>
    <w:p w14:paraId="6D5E94A0" w14:textId="77777777" w:rsidR="008C7227" w:rsidRDefault="0064519D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 Организатору общественных обсуждений обеспечить:</w:t>
      </w:r>
    </w:p>
    <w:p w14:paraId="6078AEF7" w14:textId="77777777" w:rsidR="008C7227" w:rsidRDefault="0064519D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о начале общественных обсуждений в газете «Зори»;</w:t>
      </w:r>
    </w:p>
    <w:p w14:paraId="10DD28DA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проекта решения,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</w:t>
      </w:r>
      <w:r>
        <w:rPr>
          <w:color w:val="000000"/>
          <w:spacing w:val="4"/>
          <w:sz w:val="26"/>
          <w:szCs w:val="26"/>
        </w:rPr>
        <w:lastRenderedPageBreak/>
        <w:t xml:space="preserve">органов местного самоуправления Старооскольского городского округа http://www. oskolregion.gosuslugi.ru в информационно-телекоммуникационной сети «Интернет». </w:t>
      </w:r>
    </w:p>
    <w:p w14:paraId="0F74F4FC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14:paraId="14E72D75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03C7A70B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02 сентября 2024 года;</w:t>
      </w:r>
    </w:p>
    <w:p w14:paraId="1D5FF3B1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02 сентября 2024 по 09 сентября 2024 года;</w:t>
      </w:r>
    </w:p>
    <w:p w14:paraId="0514849A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(суббота, воскресенье).</w:t>
      </w:r>
    </w:p>
    <w:p w14:paraId="7F2FBD5E" w14:textId="77777777" w:rsidR="008C7227" w:rsidRDefault="0064519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                    09 сентября 2024 года:</w:t>
      </w:r>
    </w:p>
    <w:p w14:paraId="6580AC8B" w14:textId="77777777" w:rsidR="008C7227" w:rsidRDefault="0064519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146831D5" w14:textId="77777777" w:rsidR="008C7227" w:rsidRDefault="0064519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7C4C69FA" w14:textId="0C5138C7" w:rsidR="008C7227" w:rsidRDefault="0064519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посредством записи в журналах учета посетителей экспозици</w:t>
      </w:r>
      <w:r w:rsidR="00D8356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</w:t>
      </w:r>
    </w:p>
    <w:p w14:paraId="1A8AA577" w14:textId="77777777" w:rsidR="008C7227" w:rsidRDefault="0064519D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53FA93A1" w14:textId="77777777" w:rsidR="008C7227" w:rsidRDefault="0064519D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4EFE79AE" w14:textId="77777777" w:rsidR="008C7227" w:rsidRDefault="008C7227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138EDB29" w14:textId="77777777" w:rsidR="008C7227" w:rsidRDefault="008C7227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6A7A6A4A" w14:textId="77777777" w:rsidR="008C7227" w:rsidRDefault="008C7227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754C9423" w14:textId="77777777" w:rsidR="008C7227" w:rsidRDefault="0064519D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15DBFB34" w14:textId="77777777" w:rsidR="008C7227" w:rsidRDefault="0064519D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8C7227" w:rsidSect="00B10E2E">
      <w:headerReference w:type="default" r:id="rId9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F6F35" w14:textId="77777777" w:rsidR="000B14A3" w:rsidRDefault="000B14A3">
      <w:pPr>
        <w:spacing w:after="0" w:line="240" w:lineRule="auto"/>
      </w:pPr>
      <w:r>
        <w:separator/>
      </w:r>
    </w:p>
  </w:endnote>
  <w:endnote w:type="continuationSeparator" w:id="0">
    <w:p w14:paraId="7889F000" w14:textId="77777777" w:rsidR="000B14A3" w:rsidRDefault="000B1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Lucida Sans Unico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F92B2" w14:textId="77777777" w:rsidR="000B14A3" w:rsidRDefault="000B14A3">
      <w:pPr>
        <w:spacing w:after="0" w:line="240" w:lineRule="auto"/>
      </w:pPr>
      <w:r>
        <w:separator/>
      </w:r>
    </w:p>
  </w:footnote>
  <w:footnote w:type="continuationSeparator" w:id="0">
    <w:p w14:paraId="7B3EA525" w14:textId="77777777" w:rsidR="000B14A3" w:rsidRDefault="000B1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6883" w14:textId="01597D25" w:rsidR="008C7227" w:rsidRDefault="0064519D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833601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5145"/>
    <w:multiLevelType w:val="multilevel"/>
    <w:tmpl w:val="388CB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60154"/>
    <w:multiLevelType w:val="multilevel"/>
    <w:tmpl w:val="3746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3D16DF5"/>
    <w:multiLevelType w:val="multilevel"/>
    <w:tmpl w:val="44747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0005EE"/>
    <w:multiLevelType w:val="multilevel"/>
    <w:tmpl w:val="61127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E9A4291"/>
    <w:multiLevelType w:val="multilevel"/>
    <w:tmpl w:val="D48225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5" w15:restartNumberingAfterBreak="0">
    <w:nsid w:val="1FFA6A86"/>
    <w:multiLevelType w:val="multilevel"/>
    <w:tmpl w:val="B80C2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E308D9"/>
    <w:multiLevelType w:val="multilevel"/>
    <w:tmpl w:val="60E0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23314B7"/>
    <w:multiLevelType w:val="multilevel"/>
    <w:tmpl w:val="C37A9482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3A5F29"/>
    <w:multiLevelType w:val="multilevel"/>
    <w:tmpl w:val="D00AAFEC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9" w15:restartNumberingAfterBreak="0">
    <w:nsid w:val="354C5409"/>
    <w:multiLevelType w:val="multilevel"/>
    <w:tmpl w:val="29A04CF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0" w15:restartNumberingAfterBreak="0">
    <w:nsid w:val="44CF0276"/>
    <w:multiLevelType w:val="multilevel"/>
    <w:tmpl w:val="2FFAD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6D20B3"/>
    <w:multiLevelType w:val="multilevel"/>
    <w:tmpl w:val="39F02F7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2" w15:restartNumberingAfterBreak="0">
    <w:nsid w:val="48FD6722"/>
    <w:multiLevelType w:val="multilevel"/>
    <w:tmpl w:val="7C16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9B1B4D"/>
    <w:multiLevelType w:val="multilevel"/>
    <w:tmpl w:val="324841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33567A7"/>
    <w:multiLevelType w:val="multilevel"/>
    <w:tmpl w:val="73F05ED2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5" w15:restartNumberingAfterBreak="0">
    <w:nsid w:val="56716333"/>
    <w:multiLevelType w:val="multilevel"/>
    <w:tmpl w:val="E772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071307"/>
    <w:multiLevelType w:val="multilevel"/>
    <w:tmpl w:val="507E7126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7" w15:restartNumberingAfterBreak="0">
    <w:nsid w:val="6A436725"/>
    <w:multiLevelType w:val="multilevel"/>
    <w:tmpl w:val="96C0D32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8" w15:restartNumberingAfterBreak="0">
    <w:nsid w:val="6B0579C7"/>
    <w:multiLevelType w:val="multilevel"/>
    <w:tmpl w:val="2828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B6F3D64"/>
    <w:multiLevelType w:val="multilevel"/>
    <w:tmpl w:val="DB54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6D483FCD"/>
    <w:multiLevelType w:val="multilevel"/>
    <w:tmpl w:val="E0024B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F79F2"/>
    <w:multiLevelType w:val="multilevel"/>
    <w:tmpl w:val="1860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70C27FBC"/>
    <w:multiLevelType w:val="multilevel"/>
    <w:tmpl w:val="5A3AE182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19D617D"/>
    <w:multiLevelType w:val="multilevel"/>
    <w:tmpl w:val="83E08ECA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4" w15:restartNumberingAfterBreak="0">
    <w:nsid w:val="74E005F9"/>
    <w:multiLevelType w:val="multilevel"/>
    <w:tmpl w:val="7DE8AB0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5" w15:restartNumberingAfterBreak="0">
    <w:nsid w:val="792F5173"/>
    <w:multiLevelType w:val="multilevel"/>
    <w:tmpl w:val="C85C06B4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22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18"/>
  </w:num>
  <w:num w:numId="10">
    <w:abstractNumId w:val="21"/>
  </w:num>
  <w:num w:numId="11">
    <w:abstractNumId w:val="1"/>
  </w:num>
  <w:num w:numId="12">
    <w:abstractNumId w:val="19"/>
  </w:num>
  <w:num w:numId="13">
    <w:abstractNumId w:val="15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20"/>
  </w:num>
  <w:num w:numId="19">
    <w:abstractNumId w:val="24"/>
  </w:num>
  <w:num w:numId="20">
    <w:abstractNumId w:val="17"/>
  </w:num>
  <w:num w:numId="21">
    <w:abstractNumId w:val="8"/>
  </w:num>
  <w:num w:numId="22">
    <w:abstractNumId w:val="23"/>
  </w:num>
  <w:num w:numId="23">
    <w:abstractNumId w:val="16"/>
  </w:num>
  <w:num w:numId="24">
    <w:abstractNumId w:val="25"/>
  </w:num>
  <w:num w:numId="25">
    <w:abstractNumId w:val="1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227"/>
    <w:rsid w:val="000B14A3"/>
    <w:rsid w:val="0064519D"/>
    <w:rsid w:val="00833601"/>
    <w:rsid w:val="008C7227"/>
    <w:rsid w:val="00B10E2E"/>
    <w:rsid w:val="00D8356E"/>
    <w:rsid w:val="00E52014"/>
    <w:rsid w:val="00F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6E09"/>
  <w15:docId w15:val="{AE783962-7EC6-4D17-BA65-0ED67B6F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550</Words>
  <Characters>3136</Characters>
  <Application>Microsoft Office Word</Application>
  <DocSecurity>0</DocSecurity>
  <Lines>26</Lines>
  <Paragraphs>7</Paragraphs>
  <ScaleCrop>false</ScaleCrop>
  <Company>office 2007 rus ent: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2024-08-15T09:56:00Z</cp:lastPrinted>
  <dcterms:created xsi:type="dcterms:W3CDTF">2024-08-19T11:21:00Z</dcterms:created>
  <dcterms:modified xsi:type="dcterms:W3CDTF">2024-08-19T11:30:00Z</dcterms:modified>
  <cp:version>1048576</cp:version>
</cp:coreProperties>
</file>