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rPr>
          <w:sz w:val="24"/>
          <w:szCs w:val="24"/>
        </w:rPr>
        <w:pBdr>
          <w:top w:val="non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</w:rPr>
        <w:t xml:space="preserve">размещения объект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электросетевого хозяйства:</w:t>
      </w:r>
      <w:r>
        <w:rPr>
          <w:rFonts w:ascii="Times New Roman" w:hAnsi="Times New Roman" w:cs="Times New Roman"/>
        </w:rPr>
        <w:t xml:space="preserve"> </w:t>
      </w:r>
      <w:r>
        <w:t xml:space="preserve">сооружение - </w:t>
      </w:r>
      <w:r>
        <w:t xml:space="preserve">линия электропередачи 110 кВ "Губкин - Старый Оскол 1" от подстанции "Губкин - 330/220/110/35 кВ" до подстанции "Старый Оскол 1 110/35/6 кВ"</w:t>
      </w:r>
      <w:r>
        <w:rPr>
          <w:rFonts w:ascii="Times New Roman" w:hAnsi="Times New Roman" w:cs="Times New Roman"/>
        </w:rPr>
        <w:t xml:space="preserve"> с к</w:t>
      </w:r>
      <w:r>
        <w:rPr>
          <w:rFonts w:ascii="Times New Roman" w:hAnsi="Times New Roman" w:cs="Times New Roman"/>
        </w:rPr>
        <w:t xml:space="preserve">адастровым номером </w:t>
      </w:r>
      <w:r>
        <w:t xml:space="preserve">31:05:0101001:781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78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817"/>
        <w:gridCol w:w="2339"/>
        <w:gridCol w:w="7549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31:03:0000000:265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31:03:0000000:4876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Губкинский район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31:03:0000000:4877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Губкинский район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31:03:0000000:5322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Губкинский р-н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31:03:0000000:5424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р-н Губкинский, ПС 110/35/10 кВ "Журавлики 110"Заход ВЛ 110 кВ на ПС 110 кВ "Журавлики" опоры №№ 1-116,124,125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31:03:0408001:34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ВЛ 110 кВ "Губкин 330 - Казацкие Бугры" опоры №№ 5-11 ВЛ 110 кВ "Губкин 330 - Казацкие Бугры"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31:03:0408001:35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ВЛ 110 кВ "Губкин 330-Ст.Оскол-1" опоры №№ 5-14 ВЛ 110 кВ "Губкин 330-Ст.Оскол-1".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31:03:0408002:101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р-н Губкинский, Воздушная линия электропередачи 330 кВ "Старый Оскол - Губкин"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31:03:0408002:121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обл., Губкинский городской округ, г. Губкин, пер. Центральный, земельный участок 15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31:03:0408002:172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31:03:0408002:176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31:03:0408002:179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31:03:0408002:302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Губкинский район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31:03:0408002:306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31:03:0408002:307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31:03:0408002:309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31:03:0408002:310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31:03:0408002:311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31:03:0408002:312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Губкинский, в границах СПК "Казацкий"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31:04:0000000:343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Губкинский городской округ, г. Губкин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31:04:0901006:246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Губкин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31:04:0901006:431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Губкин, ВЛ-0,4 кВ № 1 КТП № 93 ул. Ударников, ул. Красина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31:04:0901006:499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Губкин, ул. Красина, 46/2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31:04:0901006:625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Губкинский городской округ, г. Губкин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31:04:0901006:627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Губкин, опоры №№ 1-4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Губкин, Опоры №№1-4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31:04:0901006:70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Губкин, Опоры №№1-4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31:05:0000000:1237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Старооскольский городской округ, автомобильная дорога "Старый Оскол-Песчанка-Николаевка"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31:05:0000000:1783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31:05:0000000:277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31:05:0000000:53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-35 кВ "Водозабор - Старый Оскол - 2"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31:05:0000000:56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р-н Старооскольский, ВЛ-110кВ "Губкин - Старый Оскол-1"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31:05:0000000:57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ВЛ-110кВ "Губкин - Старый Оскол 1"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31:05:0000000:82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р-н Старооскольский, ВЛ - 110 кВ "Губкин - Казацкие Бугры"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31:05:0000000:94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р-н Старооскольский, ВЛ-35 кВ "Губкин - Водозабор-1"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31:05:0000000:2077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31:05:0101003:55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Старооскольский, Песчанское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31:05:0101003:56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Старооскольский, Песчанское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31:05:0101003:83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р-н Старооскольский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31:05:0102003:59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р-н Старооскольский, Песчанское сельское поселение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31:05:0106001:24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р-н Старооскольский, с. Николаевка (Песчанский с/о)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31:06:0000000:151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ВЛ-6 кВ №36 ПС -110 Старый Оскол-1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31:06:0000000:17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(Губкинское направление) 82/83 км + 0.295 км - 90/91 км + 0.679 км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31:06:0000000:19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Для обслуживания ВЛ-110 кВ "Губкин-Старый Оскол 1", ВЛ-110 кВ "Губкин-Пушкарная" с отпайкой на подстанцию "Очистные №3"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31:06:0000000:372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ВЛ-0,4кВ №1 МТП №3-05 ПС 110 Старый Оскол-1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31:06:0000000:43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2795 кв.м. -газораспределительная станция , метанольница, свеча, 3 кв.м. -контрольно-измерительные колонки, 1 кв.м. -вытяжная свеча, 12 кв.м. -опора линии электропередач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31:06:0000000:69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ВЛ 110 кВ "Губкин-Пушкарная" с отпайкой на подстанцию "Очистные №3" и ВЛ 110 кВ "Старый Оскол-500-Старый Оскол-1" с отпайкой на подстанцию "Очистные №3"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31:06:0305001:368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Старооскольский городской округ, город Старый Оскол, № 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31:06:0305001:65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пр-кт Губкина, 49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31:06:0321012:4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31:06:0321012:8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пр-кт Комсомольский, д. 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31:06:0321013:187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проспект Комсомольский, №79а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31:06:0321013:27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объездная дорога, бойлерная, ЦТП-20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№306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гараж №305.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 307.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№308.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ГСК "Автолюбитель -3", бокс №309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№310.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"Автолюбитель-3", гараж №312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№313.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№314.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31:06:0325033:19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№315.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"Автолюбитель-3" гараж №384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№316.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№318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№319.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№321.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№322.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№323.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№324.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№325.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№326.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31:06:0325033:29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ГСК "Автолюбитель -3", гараж №327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ГПК"Автолюбитель-3" гараж 388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№328.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ГСК "Автолюбитель -3", бокс №329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№330.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№331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№332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№333.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№334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 335.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№336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31:06:0325033:39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№337.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379.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338.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 гараж №339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№340.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 341.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№342.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№343.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№344.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 -3" гараж №345.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№346.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31:06:0325033:49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№347.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320.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№348.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№349.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 -3", гараж №351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№352.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Оскол, ГПК "Автолюбитель -3", гараж №353.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№354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№355.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№356.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№357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31:06:0325033:59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№358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№317.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№359.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 -3", гараж №360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№361.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362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№363.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"Автолюбитель-3", гараж №364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"Автолюбитель-3", гараж №365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№366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«Автолюбитель -3», гараж № 367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№368.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350.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 369.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№370.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№371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№372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 -3", гараж №373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№374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№375.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№377.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№378.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31:06:0325033:79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"Автолюбитель-3", гараж №380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376.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№381.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№382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№383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№385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№386.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№387.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ГПК"Автолюбитель -3" гараж №389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№390.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№391.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31:06:0325033:89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№392.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 304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№393.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№394.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№395.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№396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№397.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№398.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31:06:0325033:96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№399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Оскол, ГПК "Автолюбитель-3", гараж № 265.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 гараж 240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279.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№262.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№258.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223.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 -3", гараж № 224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225.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259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226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Белгородский р-н, г. Старый Оскол, ГПК "Автолюбитель -3", гараж № 227.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31:06:0325034:19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"Автолюбитель-3", гараж №228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 Старый Оскол, ГПК "Автолюбитель-3" гараж №296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№229.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230.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№231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232.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233.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234.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"Автолюбитель-3", гараж №236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 -3", гараж №237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31:06:0325034:28,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238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31:06:0325034:29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 гараж № 239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"Автолюбитель-3", гараж №235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241.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Оскол, ГПК "Автолюбитель -3", гараж № 242.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 243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244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245.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248.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249.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Оскол, ГСК "Автолюбитель -3", гараж № 250.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 251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31:06:0325034:39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г. Старый Оскол, ГСК "Автолюбитель -3", бокс № 252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№290.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 253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 -3" гараж №254.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255.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256.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 257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 259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260.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261.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№263.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31:06:0325034:49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№264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"Автолюбитель-3", гараж 272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№266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 267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 268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"Автолюбитель-3", гараж № 269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 270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"Автолюбитель-3", гараж №271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 273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"Автолюбитель-3", гараж №274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 275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31:06:0325034:59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г. Старый Оскол, ГПК "Автолюбитель -3", гараж № 276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222.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 277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278.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 280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 281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282.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283.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№284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285.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286.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287.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"Автолюбитель-3", гараж №303А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-3",гараж №288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"Автолюбитель-3", гараж №289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обл., г. Старый Оскол, ГСК "Автолюбитель-3", бокс №291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292.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ГСК "Автолюбитель -3", бокс № 293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ГСК "Автолюбитель -3", бокс № 294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295.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 297.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№298.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31:06:0325034:79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№299.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 гараж 246.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№300.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31:06:0325034:81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301.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31:06:0325034:82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ГПК "Автолюбитель-3", гараж № 302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31:06:0325034:83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 гараж №303.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31:06:0325034:9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ГПК"Автолюбитель-3" гараж №247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31:06:0325035:10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южная объездная дорога, №5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31:06:0325035:179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Юго-Западный обход г. Старый Оскол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571.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ГПК "Автолюбитель -3", гараж № 572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ГСК "Автолюбитель-3", бокс №573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г. Старый Оскол, ГСК "Автолюбитель -3", бокс № 574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576.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31:06:0325035:79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577.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31:06:0325035:80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31:06:0325035:81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580.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31:06:0325035:82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обл., г. Старый Оскол, ГПК "Автолюбитель -3", гараж № 581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ГПК"Автолюбитель-3"гараж №140.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135.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31:06:0325036:62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31:06:0325036:63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г. Старый Оскол.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138.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31:06:0325036:65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обл. Белгородская, г. Старый Оскол, ГСК "Автолюбитель - 3", бокс № 139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31:06:0325036:66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обл, г Старый Оскол, ГПК "Автолюбитель -3", гараж №141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№142.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31:06:0325036:68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 -3", гараж №143.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31:06:0325036:69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144.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31:06:0325036:70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ГПК "Автолюбитель-3", гараж №145.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31:06:0325036:71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г. Старый Оскол, ГСК "Автолюбитель -3", бокс № 146.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31:06:0326004:14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Белгородская область, г. Старый Оскол, район объездной дороги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31:06:0326004:154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Российская Федерация, Белгородская область, Старооскольский городской округ, г. Старый Оскол, южная объездная автодорога, № 2б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t xml:space="preserve"> в течение пятнадцати</w:t>
      </w:r>
      <w:r>
        <w:rPr>
          <w:sz w:val="24"/>
          <w:szCs w:val="24"/>
        </w:rPr>
        <w:t xml:space="preserve">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 </w:t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 на которых размещается сообщение о пост</w:t>
      </w:r>
      <w:r>
        <w:rPr>
          <w:sz w:val="24"/>
          <w:szCs w:val="24"/>
        </w:rPr>
        <w:t xml:space="preserve">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hyperlink r:id="rId11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hyperlink r:id="rId12" w:tooltip="https://valujskij-r31.gosweb.gosuslugi.ru/" w:history="1"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  <w:t xml:space="preserve">https://oskolregion.gosuslugi.ru/</w:t>
        </w:r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</w:r>
      </w:hyperlink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hyperlink r:id="rId13" w:tooltip="https://oskol-kray.ru/" w:history="1">
        <w:r>
          <w:rPr>
            <w:rStyle w:val="886"/>
            <w:sz w:val="24"/>
            <w:szCs w:val="24"/>
          </w:rPr>
          <w:t xml:space="preserve">https://oskol-kray.ru/</w:t>
        </w:r>
        <w:r>
          <w:rPr>
            <w:rStyle w:val="886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gubkinadm.gosuslugi.ru/" w:history="1">
        <w:r>
          <w:rPr>
            <w:rStyle w:val="886"/>
            <w:sz w:val="24"/>
            <w:szCs w:val="24"/>
            <w:highlight w:val="none"/>
          </w:rPr>
          <w:t xml:space="preserve">https://gubkinadm.gosuslugi.ru/</w:t>
        </w:r>
        <w:r>
          <w:rPr>
            <w:rStyle w:val="886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https://vremya31.ru/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Постановлением Правите</w:t>
      </w:r>
      <w:r>
        <w:rPr>
          <w:sz w:val="24"/>
          <w:szCs w:val="24"/>
        </w:rPr>
        <w:t xml:space="preserve">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left="2558" w:right="2558"/>
        <w:jc w:val="center"/>
        <w:spacing w:before="153"/>
      </w:pPr>
      <w:r>
        <w:rPr>
          <w:sz w:val="20"/>
        </w:rPr>
        <w:t xml:space="preserve">Реестровые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номера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охранных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зон</w:t>
      </w:r>
      <w:r>
        <w:rPr>
          <w:sz w:val="20"/>
        </w:rPr>
        <w:t xml:space="preserve">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31:00-6.182,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31:05-6.1924</w:t>
      </w:r>
      <w:r>
        <w:rPr>
          <w:sz w:val="20"/>
        </w:rPr>
      </w:r>
      <w:r/>
    </w:p>
    <w:p>
      <w:r>
        <w:rPr>
          <w:sz w:val="20"/>
        </w:rPr>
      </w:r>
      <w:r>
        <w:rPr>
          <w:sz w:val="20"/>
        </w:rPr>
      </w:r>
      <w:r/>
    </w:p>
    <w:tbl>
      <w:tblPr>
        <w:tblStyle w:val="904"/>
        <w:tblW w:w="0" w:type="auto"/>
        <w:tblInd w:w="3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92"/>
        <w:gridCol w:w="4535"/>
      </w:tblGrid>
      <w:tr>
        <w:tblPrEx/>
        <w:trPr>
          <w:trHeight w:val="327"/>
        </w:trPr>
        <w:tc>
          <w:tcPr>
            <w:gridSpan w:val="3"/>
            <w:tcW w:w="10295" w:type="dxa"/>
            <w:textDirection w:val="lrTb"/>
            <w:noWrap w:val="false"/>
          </w:tcPr>
          <w:p>
            <w:pPr>
              <w:pStyle w:val="903"/>
              <w:ind w:left="4254" w:right="4214"/>
              <w:spacing w:before="72" w:line="240" w:lineRule="auto"/>
            </w:pPr>
            <w:r>
              <w:t xml:space="preserve">Сведения</w:t>
            </w:r>
            <w:r>
              <w:rPr>
                <w:spacing w:val="-8"/>
              </w:rPr>
              <w:t xml:space="preserve"> </w:t>
            </w:r>
            <w:r>
              <w:t xml:space="preserve">об</w:t>
            </w:r>
            <w:r>
              <w:rPr>
                <w:spacing w:val="-8"/>
              </w:rPr>
              <w:t xml:space="preserve"> </w:t>
            </w:r>
            <w:r>
              <w:t xml:space="preserve">объекте</w:t>
            </w:r>
            <w:r/>
          </w:p>
        </w:tc>
      </w:tr>
      <w:tr>
        <w:tblPrEx/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234" w:right="197" w:firstLine="48"/>
              <w:jc w:val="left"/>
              <w:spacing w:before="111" w:line="268" w:lineRule="auto"/>
            </w:pPr>
            <w:r>
              <w:t xml:space="preserve">№</w:t>
            </w:r>
            <w:r>
              <w:rPr>
                <w:spacing w:val="-52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903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t xml:space="preserve">объекта</w:t>
            </w:r>
            <w:r>
              <w:rPr>
                <w:sz w:val="21"/>
                <w:szCs w:val="21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903"/>
              <w:ind w:left="1171" w:right="1147"/>
              <w:spacing w:line="240" w:lineRule="auto"/>
              <w:rPr>
                <w:sz w:val="21"/>
                <w:szCs w:val="21"/>
              </w:rPr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2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3</w:t>
            </w:r>
            <w:r/>
          </w:p>
        </w:tc>
      </w:tr>
      <w:tr>
        <w:tblPrEx/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/>
              <w:jc w:val="left"/>
              <w:spacing w:before="5" w:line="240" w:lineRule="auto"/>
            </w:pPr>
            <w:r>
              <w:rPr>
                <w:spacing w:val="-1"/>
              </w:rPr>
              <w:t xml:space="preserve"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объекта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03"/>
              <w:ind w:left="133" w:right="216"/>
              <w:jc w:val="left"/>
              <w:spacing w:before="5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Федерация,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Белгородская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область,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р-н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Губкинский,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Старооскольский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район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2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 w:right="799"/>
              <w:jc w:val="left"/>
              <w:spacing w:before="5" w:line="273" w:lineRule="auto"/>
              <w:rPr>
                <w:lang w:val="ru-RU"/>
              </w:rPr>
            </w:pPr>
            <w:r>
              <w:rPr>
                <w:lang w:val="ru-RU"/>
              </w:rPr>
              <w:t xml:space="preserve">Площадь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±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величина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погрешности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определения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площади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(</w:t>
            </w:r>
            <w:r>
              <w:rPr>
                <w:b/>
              </w:rPr>
              <w:t xml:space="preserve">P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± ∆</w:t>
            </w:r>
            <w:r>
              <w:rPr>
                <w:b/>
              </w:rPr>
              <w:t xml:space="preserve">P</w:t>
            </w:r>
            <w:r>
              <w:rPr>
                <w:lang w:val="ru-RU"/>
              </w:rPr>
              <w:t xml:space="preserve">),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03"/>
              <w:ind w:left="1165" w:right="1147"/>
              <w:spacing w:before="188" w:line="240" w:lineRule="auto"/>
              <w:rPr>
                <w:bCs/>
              </w:rPr>
            </w:pPr>
            <w:r>
              <w:rPr>
                <w:b/>
              </w:rPr>
              <w:t xml:space="preserve">672796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287</w:t>
            </w:r>
            <w:r>
              <w:rPr>
                <w:b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360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3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/>
              <w:jc w:val="left"/>
              <w:spacing w:before="5" w:line="240" w:lineRule="auto"/>
            </w:pPr>
            <w:r>
              <w:t xml:space="preserve">Иные</w:t>
            </w:r>
            <w:r>
              <w:rPr>
                <w:spacing w:val="-10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03"/>
              <w:ind w:left="133" w:right="180"/>
              <w:jc w:val="left"/>
              <w:spacing w:before="5" w:line="268" w:lineRule="auto"/>
            </w:pPr>
            <w:r>
              <w:rPr>
                <w:lang w:val="ru-RU"/>
              </w:rPr>
              <w:t xml:space="preserve">Ограничения на использование объекта: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публичный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 на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49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лет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интересах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общества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249"/>
              <w:jc w:val="left"/>
              <w:spacing w:line="268" w:lineRule="auto"/>
            </w:pPr>
            <w:r>
              <w:rPr>
                <w:lang w:val="ru-RU"/>
              </w:rPr>
              <w:t xml:space="preserve">«Россети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целях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размещения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электросетевого хозяйства: Воздушная линия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электропередачи 110 кВ "Губкин - Старый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Оскол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1"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 подстанции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"Губкин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330/220/110/35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кВ"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подстанции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"Старый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Оскол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1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110/35/6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кВ".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214"/>
              <w:jc w:val="left"/>
              <w:spacing w:line="268" w:lineRule="auto"/>
            </w:pPr>
            <w:r>
              <w:rPr>
                <w:lang w:val="ru-RU"/>
              </w:rPr>
              <w:t xml:space="preserve">Обладатель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акционерное общество «Россети Центр»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(филиал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ПАО «Россети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/>
              <w:jc w:val="left"/>
              <w:spacing w:line="253" w:lineRule="exact"/>
            </w:pPr>
            <w:r>
              <w:rPr>
                <w:lang w:val="ru-RU"/>
              </w:rPr>
              <w:t xml:space="preserve">«Белгородэнерго»).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577"/>
              <w:jc w:val="left"/>
              <w:spacing w:before="29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308009,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Белгород,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Преображенская, д. 42; электронная почта</w:t>
            </w:r>
            <w:r>
              <w:rPr>
                <w:spacing w:val="-53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mailto</w:instrText>
            </w:r>
            <w:r>
              <w:rPr>
                <w:lang w:val="ru-RU"/>
              </w:rPr>
              <w:instrText xml:space="preserve">:</w:instrText>
            </w:r>
            <w:r>
              <w:instrText xml:space="preserve">belgorodenergo</w:instrText>
            </w:r>
            <w:r>
              <w:rPr>
                <w:lang w:val="ru-RU"/>
              </w:rPr>
              <w:instrText xml:space="preserve">@</w:instrText>
            </w:r>
            <w:r>
              <w:instrText xml:space="preserve">mrsk</w:instrText>
            </w:r>
            <w:r>
              <w:rPr>
                <w:lang w:val="ru-RU"/>
              </w:rPr>
              <w:instrText xml:space="preserve">-1.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t xml:space="preserve">belgorodenergo</w:t>
            </w:r>
            <w:r>
              <w:rPr>
                <w:lang w:val="ru-RU"/>
              </w:rPr>
              <w:t xml:space="preserve">@</w:t>
            </w:r>
            <w:r>
              <w:t xml:space="preserve">mrsk</w:t>
            </w:r>
            <w:r>
              <w:rPr>
                <w:lang w:val="ru-RU"/>
              </w:rPr>
              <w:t xml:space="preserve">-1.</w:t>
            </w:r>
            <w:r>
              <w:t xml:space="preserve">ru</w:t>
            </w:r>
            <w:r>
              <w:rPr>
                <w:lang w:val="ru-RU"/>
              </w:rPr>
              <w:t xml:space="preserve">.</w:t>
            </w:r>
            <w:r>
              <w:fldChar w:fldCharType="end"/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spacing w:before="9" w:after="1"/>
      </w:pPr>
      <w:r/>
      <w:r/>
    </w:p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blPrEx/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903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42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line="236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 xml:space="preserve"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 xml:space="preserve"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 xml:space="preserve">2</w:t>
            </w:r>
            <w:r>
              <w:rPr>
                <w:u w:val="single"/>
              </w:rPr>
              <w:tab/>
            </w:r>
            <w:r/>
          </w:p>
        </w:tc>
      </w:tr>
      <w:tr>
        <w:tblPrEx/>
        <w:trPr>
          <w:trHeight w:val="301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before="30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2. Сведения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характерных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точках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6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3" w:line="240" w:lineRule="auto"/>
            </w:pPr>
            <w:r>
              <w:rPr>
                <w:sz w:val="19"/>
              </w:rPr>
            </w:r>
            <w:r>
              <w:rPr>
                <w:sz w:val="19"/>
              </w:rPr>
            </w:r>
            <w:r/>
          </w:p>
          <w:p>
            <w:pPr>
              <w:pStyle w:val="903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квадрат</w:t>
            </w:r>
            <w:r>
              <w:rPr>
                <w:sz w:val="18"/>
                <w:lang w:val="ru-RU"/>
              </w:rPr>
              <w:t xml:space="preserve">и-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903"/>
              <w:ind w:left="30" w:right="7"/>
              <w:spacing w:before="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3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179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33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1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2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2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1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3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0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4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8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5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26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6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474703.90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2191520.36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474688.60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2191604.17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474662.79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2191803.91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474636.90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2192004.24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474612.55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2192192.68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474589.82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2192368.58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474484.46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2192507.42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474454.31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2192589.48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474457.58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2192591.70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474557.92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2192654.05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474732.97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2192769.56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474848.33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2192843.29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474974.63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2192918.63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474977.66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2193140.61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474980.78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2193354.99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474983.87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2193570.29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474987.49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2193774.04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474990.08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2193993.18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474992.29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2194139.81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474995.23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2194341.61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474998.45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2194541.36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474999.66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2194616.88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475003.77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2194842.15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475012.81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2195443.38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474925.90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2195658.52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474850.94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2195841.27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474776.21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2195996.15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474702.16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2196208.92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474627.36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2196392.63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474552.01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2196582.45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474481.48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2196743.58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474410.51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2196932.51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474340.84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2197102.93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474089.34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2197724.63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474011.37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2197917.30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473932.89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2198115.76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473852.95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2198309.34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473692.43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2198706.74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473612.40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2198894.01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473533.25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2199094.41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473452.59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2199295.05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473295.82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2199682.64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473226.02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2199858.22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473150.81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2200041.25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473021.73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2200190.89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472542.27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2200546.94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472165.93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2200770.67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471981.77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2200882.88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471794.63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2200995.21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471608.97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2201110.45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471430.28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2201217.68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471179.12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2201374.62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471042.44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2201452.69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470859.95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2201560.37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470699.68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2201657.97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470212.11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2201947.94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470058.84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2202038.49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469908.22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2202130.38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469708.88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2202253.89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469711.43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2202365.68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469718.05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2202612.02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469853.68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2202786.13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469978.71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2202948.11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470116.83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2203119.06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470257.25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2203299.28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470262.48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2203302.01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470241.14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2203342.76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470227.09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2203335.41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470080.79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2203147.65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469942.61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2202976.62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469817.34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2202814.33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469672.47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2202628.37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469665.44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2202366.82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469662.29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2202228.64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469884.12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2202091.19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470035.16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2201999.06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>
        <w:tblPrEx/>
        <w:trPr>
          <w:trHeight w:val="265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903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470188.65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2201908.36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470675.97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2201618.56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470836.30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2201520.92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471019.34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2201412.92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471155.52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2201335.13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471406.27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2201178.45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471585.01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2201071.18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471770.66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2200955.94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471957.97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2200843.53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472142.21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2200731.26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472516.74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2200508.60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472990.24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2200157.00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473111.10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2200016.87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473183.38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2199840.98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473253.12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2199665.52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473409.93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2199277.85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473490.51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2199077.39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473569.86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2198876.53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473649.95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2198689.08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473810.37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2198291.94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473890.25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2198098.52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473968.67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2197900.22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99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474046.70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2197707.37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474298.24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2197085.61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474367.67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2196915.71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474438.86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2196726.26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474509.55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2196564.73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474584.68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2196375.47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2196192.69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474733.62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2195978.53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474808.91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2195822.53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474883.30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2195641.18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474966.68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2195434.77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474957.78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2194842.82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474954.25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2194582.73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474949.23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2194342.31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474946.29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2194140.51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474944.08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2193993.80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474941.49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2193774.72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474937.87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2193571.03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474934.78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2193355.65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474931.66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2193141.23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119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474928.98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2192944.96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474824.15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2192882.43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474707.91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2192808.14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474533.10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2192692.79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474432.52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2192630.28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474398.74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2192607.35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474443.65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2192485.09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474545.77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2192350.54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474566.93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2192186.78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474591.28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2191998.35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474617.17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2191798.02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474642.83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2191599.49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474640.58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2191523.43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474638.05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2191504.48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474701.39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2191496.87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47" w:hRule="exact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6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474703.90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2191520.36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287"/>
        </w:trPr>
        <w:tc>
          <w:tcPr>
            <w:gridSpan w:val="6"/>
            <w:tcW w:w="10295" w:type="dxa"/>
            <w:textDirection w:val="lrTb"/>
            <w:noWrap w:val="false"/>
          </w:tcPr>
          <w:p>
            <w:pPr>
              <w:pStyle w:val="903"/>
              <w:ind w:left="110"/>
              <w:jc w:val="left"/>
              <w:spacing w:before="25" w:line="240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3.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(частей)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границы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11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1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903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квадрат</w:t>
            </w:r>
            <w:r>
              <w:rPr>
                <w:sz w:val="18"/>
                <w:lang w:val="ru-RU"/>
              </w:rPr>
              <w:t xml:space="preserve">и-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903"/>
              <w:ind w:left="30" w:right="7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3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06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46"/>
              <w:jc w:val="left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1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2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2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1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3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0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4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8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5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26"/>
              <w:spacing w:before="1" w:line="240" w:lineRule="auto"/>
              <w:rPr>
                <w:szCs w:val="16"/>
              </w:rPr>
            </w:pPr>
            <w:r>
              <w:rPr>
                <w:sz w:val="16"/>
              </w:rPr>
              <w:t xml:space="preserve">6</w:t>
            </w:r>
            <w:r>
              <w:rPr>
                <w:sz w:val="16"/>
              </w:rPr>
            </w:r>
            <w:r>
              <w:rPr>
                <w:szCs w:val="16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70"/>
              <w:jc w:val="lef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>
        <w:tblPrEx/>
        <w:trPr>
          <w:trHeight w:val="229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903"/>
              <w:ind w:left="2087" w:right="2075"/>
              <w:spacing w:before="5" w:line="205" w:lineRule="exact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измененных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(уточненных)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903"/>
              <w:ind w:left="110"/>
              <w:jc w:val="left"/>
              <w:spacing w:before="4" w:line="191" w:lineRule="exact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2.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 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7" w:line="240" w:lineRule="auto"/>
            </w:pPr>
            <w:r>
              <w:rPr>
                <w:sz w:val="21"/>
                <w:lang w:val="ru-RU"/>
              </w:rPr>
            </w:r>
            <w:r>
              <w:rPr>
                <w:sz w:val="21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1"/>
                <w:szCs w:val="21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1"/>
                <w:szCs w:val="21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/>
          </w:p>
          <w:p>
            <w:pPr>
              <w:pStyle w:val="903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2" w:right="136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квадрат</w:t>
            </w:r>
            <w:r>
              <w:rPr>
                <w:sz w:val="18"/>
                <w:lang w:val="ru-RU"/>
              </w:rPr>
              <w:t xml:space="preserve">и-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903"/>
              <w:ind w:left="28" w:right="9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2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before="5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Сведения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характерных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точках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 (частей)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границы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9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/>
          </w:p>
          <w:p>
            <w:pPr>
              <w:pStyle w:val="903"/>
              <w:ind w:left="84"/>
              <w:jc w:val="left"/>
              <w:spacing w:line="18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2" w:right="136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квадрат</w:t>
            </w:r>
            <w:r>
              <w:rPr>
                <w:sz w:val="18"/>
                <w:lang w:val="ru-RU"/>
              </w:rPr>
              <w:t xml:space="preserve">и-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25" w:type="dxa"/>
            <w:vMerge w:val="restart"/>
            <w:textDirection w:val="lrTb"/>
            <w:noWrap w:val="false"/>
          </w:tcPr>
          <w:p>
            <w:pPr>
              <w:pStyle w:val="903"/>
              <w:ind w:left="28" w:right="9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>
        <w:tblPrEx/>
        <w:trPr>
          <w:trHeight w:val="301"/>
        </w:trPr>
        <w:tc>
          <w:tcPr>
            <w:gridSpan w:val="8"/>
            <w:tcW w:w="10297" w:type="dxa"/>
            <w:textDirection w:val="lrTb"/>
            <w:noWrap w:val="false"/>
          </w:tcPr>
          <w:p>
            <w:pPr>
              <w:pStyle w:val="903"/>
              <w:ind w:left="2087" w:right="2056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23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22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1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19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18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16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4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03"/>
              <w:ind w:left="13"/>
              <w:spacing w:before="1" w:line="194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</w:tbl>
    <w:p>
      <w:pPr>
        <w:spacing w:line="268" w:lineRule="auto"/>
        <w:sectPr>
          <w:footnotePr/>
          <w:endnotePr/>
          <w:type w:val="continuous"/>
          <w:pgSz w:w="11900" w:h="16840" w:orient="portrait"/>
          <w:pgMar w:top="993" w:right="500" w:bottom="280" w:left="680" w:header="709" w:footer="709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Heading 1"/>
    <w:basedOn w:val="687"/>
    <w:next w:val="687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Endnote Text Char"/>
    <w:uiPriority w:val="99"/>
    <w:rPr>
      <w:sz w:val="20"/>
    </w:rPr>
  </w:style>
  <w:style w:type="paragraph" w:styleId="701">
    <w:name w:val="endnote text"/>
    <w:basedOn w:val="687"/>
    <w:link w:val="702"/>
    <w:uiPriority w:val="99"/>
    <w:semiHidden/>
    <w:unhideWhenUsed/>
    <w:rPr>
      <w:sz w:val="20"/>
    </w:rPr>
  </w:style>
  <w:style w:type="character" w:styleId="702" w:customStyle="1">
    <w:name w:val="Текст концевой сноски Знак"/>
    <w:link w:val="701"/>
    <w:uiPriority w:val="99"/>
    <w:rPr>
      <w:sz w:val="20"/>
    </w:rPr>
  </w:style>
  <w:style w:type="character" w:styleId="703">
    <w:name w:val="endnote reference"/>
    <w:basedOn w:val="697"/>
    <w:uiPriority w:val="99"/>
    <w:semiHidden/>
    <w:unhideWhenUsed/>
    <w:rPr>
      <w:vertAlign w:val="superscript"/>
    </w:rPr>
  </w:style>
  <w:style w:type="paragraph" w:styleId="704">
    <w:name w:val="table of figures"/>
    <w:basedOn w:val="687"/>
    <w:next w:val="687"/>
    <w:uiPriority w:val="99"/>
    <w:unhideWhenUsed/>
  </w:style>
  <w:style w:type="character" w:styleId="705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697"/>
    <w:uiPriority w:val="10"/>
    <w:rPr>
      <w:sz w:val="48"/>
      <w:szCs w:val="48"/>
    </w:rPr>
  </w:style>
  <w:style w:type="character" w:styleId="715" w:customStyle="1">
    <w:name w:val="Subtitle Char"/>
    <w:basedOn w:val="697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687"/>
    <w:next w:val="687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697"/>
    <w:link w:val="728"/>
    <w:uiPriority w:val="10"/>
    <w:rPr>
      <w:sz w:val="48"/>
      <w:szCs w:val="48"/>
    </w:rPr>
  </w:style>
  <w:style w:type="paragraph" w:styleId="730">
    <w:name w:val="Subtitle"/>
    <w:basedOn w:val="687"/>
    <w:next w:val="687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basedOn w:val="697"/>
    <w:link w:val="730"/>
    <w:uiPriority w:val="11"/>
    <w:rPr>
      <w:sz w:val="24"/>
      <w:szCs w:val="24"/>
    </w:rPr>
  </w:style>
  <w:style w:type="paragraph" w:styleId="732">
    <w:name w:val="Quote"/>
    <w:basedOn w:val="687"/>
    <w:next w:val="687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7"/>
    <w:next w:val="68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697"/>
    <w:uiPriority w:val="99"/>
  </w:style>
  <w:style w:type="character" w:styleId="737" w:customStyle="1">
    <w:name w:val="Footer Char"/>
    <w:basedOn w:val="697"/>
    <w:uiPriority w:val="99"/>
  </w:style>
  <w:style w:type="paragraph" w:styleId="73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698"/>
    <w:link w:val="9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45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46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47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48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49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50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51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2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53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54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55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56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57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58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687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7"/>
    <w:uiPriority w:val="99"/>
    <w:unhideWhenUsed/>
    <w:rPr>
      <w:vertAlign w:val="superscript"/>
    </w:rPr>
  </w:style>
  <w:style w:type="paragraph" w:styleId="868">
    <w:name w:val="toc 1"/>
    <w:basedOn w:val="687"/>
    <w:next w:val="687"/>
    <w:uiPriority w:val="39"/>
    <w:unhideWhenUsed/>
    <w:pPr>
      <w:spacing w:after="57"/>
    </w:pPr>
  </w:style>
  <w:style w:type="paragraph" w:styleId="86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table" w:styleId="878">
    <w:name w:val="Table Grid"/>
    <w:basedOn w:val="69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>
    <w:name w:val="No Spacing"/>
    <w:uiPriority w:val="1"/>
    <w:qFormat/>
    <w:pPr>
      <w:spacing w:after="0" w:line="240" w:lineRule="auto"/>
    </w:pPr>
  </w:style>
  <w:style w:type="paragraph" w:styleId="880">
    <w:name w:val="Balloon Text"/>
    <w:basedOn w:val="687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7"/>
    <w:link w:val="880"/>
    <w:uiPriority w:val="99"/>
    <w:semiHidden/>
    <w:rPr>
      <w:rFonts w:ascii="Segoe UI" w:hAnsi="Segoe UI" w:cs="Segoe UI"/>
      <w:sz w:val="18"/>
      <w:szCs w:val="18"/>
    </w:rPr>
  </w:style>
  <w:style w:type="paragraph" w:styleId="882">
    <w:name w:val="Header"/>
    <w:basedOn w:val="687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97"/>
    <w:link w:val="882"/>
    <w:uiPriority w:val="99"/>
  </w:style>
  <w:style w:type="paragraph" w:styleId="884">
    <w:name w:val="Footer"/>
    <w:basedOn w:val="687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97"/>
    <w:link w:val="884"/>
    <w:uiPriority w:val="99"/>
  </w:style>
  <w:style w:type="character" w:styleId="886">
    <w:name w:val="Hyperlink"/>
    <w:rPr>
      <w:color w:val="0000ff"/>
      <w:u w:val="single"/>
    </w:rPr>
  </w:style>
  <w:style w:type="paragraph" w:styleId="887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button-search"/>
    <w:basedOn w:val="697"/>
  </w:style>
  <w:style w:type="character" w:styleId="889" w:customStyle="1">
    <w:name w:val="Основной текст (2)_"/>
    <w:link w:val="890"/>
    <w:rPr>
      <w:sz w:val="28"/>
      <w:szCs w:val="28"/>
      <w:shd w:val="clear" w:color="auto" w:fill="ffffff"/>
    </w:rPr>
  </w:style>
  <w:style w:type="paragraph" w:styleId="890" w:customStyle="1">
    <w:name w:val="Основной текст (2)"/>
    <w:basedOn w:val="687"/>
    <w:link w:val="889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91" w:customStyle="1">
    <w:name w:val="blk"/>
  </w:style>
  <w:style w:type="paragraph" w:styleId="892">
    <w:name w:val="List Paragraph"/>
    <w:basedOn w:val="687"/>
    <w:uiPriority w:val="34"/>
    <w:qFormat/>
    <w:pPr>
      <w:contextualSpacing/>
      <w:ind w:left="720"/>
    </w:pPr>
  </w:style>
  <w:style w:type="paragraph" w:styleId="893">
    <w:name w:val="Body Text"/>
    <w:basedOn w:val="687"/>
    <w:link w:val="894"/>
    <w:pPr>
      <w:jc w:val="center"/>
    </w:pPr>
    <w:rPr>
      <w:sz w:val="20"/>
      <w:szCs w:val="20"/>
    </w:rPr>
  </w:style>
  <w:style w:type="character" w:styleId="894" w:customStyle="1">
    <w:name w:val="Основной текст Знак"/>
    <w:basedOn w:val="697"/>
    <w:link w:val="893"/>
    <w:rPr>
      <w:rFonts w:ascii="Times New Roman" w:hAnsi="Times New Roman" w:eastAsia="Times New Roman" w:cs="Times New Roman"/>
      <w:sz w:val="24"/>
      <w:szCs w:val="20"/>
    </w:rPr>
  </w:style>
  <w:style w:type="character" w:styleId="895" w:customStyle="1">
    <w:name w:val="Table caption_"/>
    <w:link w:val="897"/>
    <w:uiPriority w:val="99"/>
    <w:rPr>
      <w:b/>
      <w:bCs/>
      <w:shd w:val="clear" w:color="auto" w:fill="ffffff"/>
    </w:rPr>
  </w:style>
  <w:style w:type="character" w:styleId="896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97" w:customStyle="1">
    <w:name w:val="Table caption"/>
    <w:basedOn w:val="687"/>
    <w:link w:val="895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9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9" w:customStyle="1">
    <w:name w:val="user-account__name"/>
    <w:basedOn w:val="697"/>
  </w:style>
  <w:style w:type="character" w:styleId="900">
    <w:name w:val="FollowedHyperlink"/>
    <w:basedOn w:val="697"/>
    <w:uiPriority w:val="99"/>
    <w:semiHidden/>
    <w:unhideWhenUsed/>
    <w:rPr>
      <w:color w:val="954f72" w:themeColor="followedHyperlink"/>
      <w:u w:val="single"/>
    </w:rPr>
  </w:style>
  <w:style w:type="paragraph" w:styleId="901" w:customStyle="1">
    <w:name w:val="Основной стиль"/>
    <w:link w:val="844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902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903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04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05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valujskij-r31.gosweb.gosuslugi.ru/" TargetMode="External"/><Relationship Id="rId13" Type="http://schemas.openxmlformats.org/officeDocument/2006/relationships/hyperlink" Target="https://oskol-kray.ru/" TargetMode="External"/><Relationship Id="rId14" Type="http://schemas.openxmlformats.org/officeDocument/2006/relationships/hyperlink" Target="https://gubkinadm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19</cp:revision>
  <dcterms:created xsi:type="dcterms:W3CDTF">2022-01-14T13:30:00Z</dcterms:created>
  <dcterms:modified xsi:type="dcterms:W3CDTF">2025-05-28T09:38:13Z</dcterms:modified>
</cp:coreProperties>
</file>