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BA40" w14:textId="77777777" w:rsidR="003E0B79" w:rsidRPr="003E0B79" w:rsidRDefault="00FD05A4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Hlk102119955"/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 w14:anchorId="53FE8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pt;margin-top:1.25pt;width:43.5pt;height:48pt;z-index:251658240" fillcolor="window">
            <v:imagedata r:id="rId8" o:title=""/>
            <w10:wrap type="square" side="right"/>
          </v:shape>
          <o:OLEObject Type="Embed" ProgID="Word.Picture.8" ShapeID="_x0000_s1027" DrawAspect="Content" ObjectID="_1734957753" r:id="rId9"/>
        </w:object>
      </w:r>
    </w:p>
    <w:p w14:paraId="26EBDAC8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4134E09B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24996BC2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2CC7B5F6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E0B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СТАРООСКОЛЬСКАЯ ТЕРРИТОРИАЛЬНАЯ </w:t>
      </w:r>
    </w:p>
    <w:p w14:paraId="049C78F6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E0B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ИЗБИРАТЕЛЬНАЯ КОМИССИЯ</w:t>
      </w:r>
    </w:p>
    <w:p w14:paraId="01D919A3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93266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6"/>
          <w:lang w:eastAsia="ru-RU"/>
        </w:rPr>
      </w:pPr>
      <w:r w:rsidRPr="003E0B79">
        <w:rPr>
          <w:rFonts w:ascii="Times New Roman" w:eastAsia="Times New Roman" w:hAnsi="Times New Roman" w:cs="Times New Roman"/>
          <w:b/>
          <w:spacing w:val="60"/>
          <w:sz w:val="32"/>
          <w:szCs w:val="26"/>
          <w:lang w:eastAsia="ru-RU"/>
        </w:rPr>
        <w:t>ПОСТАНОВЛЕНИЕ</w:t>
      </w:r>
    </w:p>
    <w:p w14:paraId="5BCF1EAA" w14:textId="77777777" w:rsidR="003E0B79" w:rsidRPr="003E0B79" w:rsidRDefault="003E0B79" w:rsidP="003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3E0B79" w:rsidRPr="003E0B79" w14:paraId="19881219" w14:textId="77777777" w:rsidTr="00A8576C">
        <w:tc>
          <w:tcPr>
            <w:tcW w:w="3828" w:type="dxa"/>
          </w:tcPr>
          <w:p w14:paraId="33D845A8" w14:textId="77777777" w:rsidR="003E0B79" w:rsidRPr="003E0B79" w:rsidRDefault="003E0B79" w:rsidP="003E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2023 года</w:t>
            </w:r>
          </w:p>
        </w:tc>
        <w:tc>
          <w:tcPr>
            <w:tcW w:w="2528" w:type="dxa"/>
          </w:tcPr>
          <w:p w14:paraId="0AF505F7" w14:textId="77777777" w:rsidR="003E0B79" w:rsidRPr="003E0B79" w:rsidRDefault="003E0B79" w:rsidP="003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14:paraId="74F29697" w14:textId="1EC1FF41" w:rsidR="003E0B79" w:rsidRPr="003E0B79" w:rsidRDefault="003E0B79" w:rsidP="003E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44/37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bookmarkEnd w:id="0"/>
    </w:tbl>
    <w:p w14:paraId="4E46E62E" w14:textId="7534CB58" w:rsidR="009A15DA" w:rsidRDefault="009A15DA" w:rsidP="009A15DA">
      <w:pPr>
        <w:pStyle w:val="BodyText21"/>
        <w:widowControl/>
        <w:tabs>
          <w:tab w:val="left" w:pos="4536"/>
        </w:tabs>
        <w:ind w:right="4959"/>
        <w:rPr>
          <w:szCs w:val="28"/>
        </w:rPr>
      </w:pPr>
    </w:p>
    <w:p w14:paraId="0569D852" w14:textId="77777777" w:rsidR="003E0B79" w:rsidRDefault="003E0B79" w:rsidP="009A15DA">
      <w:pPr>
        <w:pStyle w:val="BodyText21"/>
        <w:widowControl/>
        <w:tabs>
          <w:tab w:val="left" w:pos="4536"/>
        </w:tabs>
        <w:ind w:right="4959"/>
        <w:rPr>
          <w:szCs w:val="28"/>
        </w:rPr>
      </w:pPr>
    </w:p>
    <w:p w14:paraId="31E418F0" w14:textId="69F4277A" w:rsidR="009A15DA" w:rsidRDefault="009A15DA" w:rsidP="003E0B79">
      <w:pPr>
        <w:pStyle w:val="BodyText21"/>
        <w:widowControl/>
        <w:tabs>
          <w:tab w:val="left" w:pos="4111"/>
        </w:tabs>
        <w:ind w:right="5385"/>
        <w:rPr>
          <w:b/>
          <w:szCs w:val="28"/>
        </w:rPr>
      </w:pPr>
      <w:r w:rsidRPr="001A06AF">
        <w:rPr>
          <w:b/>
          <w:szCs w:val="28"/>
        </w:rPr>
        <w:t xml:space="preserve">Об утверждении Положения </w:t>
      </w:r>
      <w:r>
        <w:rPr>
          <w:b/>
          <w:szCs w:val="28"/>
        </w:rPr>
        <w:t>о</w:t>
      </w:r>
      <w:r w:rsidRPr="001A06AF">
        <w:rPr>
          <w:b/>
          <w:szCs w:val="28"/>
        </w:rPr>
        <w:t>б</w:t>
      </w:r>
      <w:r>
        <w:rPr>
          <w:b/>
          <w:szCs w:val="28"/>
        </w:rPr>
        <w:t xml:space="preserve"> а</w:t>
      </w:r>
      <w:r w:rsidRPr="009A15DA">
        <w:rPr>
          <w:b/>
          <w:szCs w:val="28"/>
        </w:rPr>
        <w:t>ппарате</w:t>
      </w:r>
      <w:r>
        <w:rPr>
          <w:b/>
          <w:szCs w:val="28"/>
        </w:rPr>
        <w:t xml:space="preserve"> </w:t>
      </w:r>
      <w:r w:rsidR="003E0B79">
        <w:rPr>
          <w:b/>
          <w:szCs w:val="28"/>
        </w:rPr>
        <w:t xml:space="preserve">Старооскольской </w:t>
      </w:r>
      <w:r w:rsidRPr="009A15DA">
        <w:rPr>
          <w:b/>
          <w:szCs w:val="28"/>
        </w:rPr>
        <w:t>территориальной</w:t>
      </w:r>
      <w:r w:rsidR="003E0B79">
        <w:rPr>
          <w:b/>
          <w:szCs w:val="28"/>
        </w:rPr>
        <w:t xml:space="preserve"> </w:t>
      </w:r>
      <w:r w:rsidRPr="009A15DA">
        <w:rPr>
          <w:b/>
          <w:szCs w:val="28"/>
        </w:rPr>
        <w:t>избирательной комиссии</w:t>
      </w:r>
    </w:p>
    <w:p w14:paraId="14ED12C9" w14:textId="65F66E10" w:rsidR="009A15DA" w:rsidRPr="0085027B" w:rsidRDefault="009A15DA" w:rsidP="009A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D710D" w14:textId="1DA814FF" w:rsidR="009A15DA" w:rsidRPr="00997A91" w:rsidRDefault="00F66CD4" w:rsidP="0085027B">
      <w:pPr>
        <w:pStyle w:val="BodyText22"/>
        <w:tabs>
          <w:tab w:val="left" w:pos="9355"/>
        </w:tabs>
        <w:ind w:right="0" w:firstLine="709"/>
        <w:rPr>
          <w:szCs w:val="28"/>
        </w:rPr>
      </w:pPr>
      <w:r w:rsidRPr="00997A91">
        <w:rPr>
          <w:szCs w:val="28"/>
        </w:rPr>
        <w:t>В соответствии со статьей 30 и частью 18 статьи 32 Избирательного кодекса Белгородской области</w:t>
      </w:r>
      <w:r w:rsidR="00E046C2" w:rsidRPr="00997A91">
        <w:rPr>
          <w:szCs w:val="28"/>
        </w:rPr>
        <w:t>,</w:t>
      </w:r>
      <w:r w:rsidR="00B31B21" w:rsidRPr="00997A91">
        <w:rPr>
          <w:szCs w:val="28"/>
        </w:rPr>
        <w:t xml:space="preserve"> </w:t>
      </w:r>
      <w:r w:rsidR="009A15DA" w:rsidRPr="00997A91">
        <w:rPr>
          <w:szCs w:val="28"/>
        </w:rPr>
        <w:t>постановлени</w:t>
      </w:r>
      <w:r w:rsidR="00B31B21" w:rsidRPr="00997A91">
        <w:rPr>
          <w:szCs w:val="28"/>
        </w:rPr>
        <w:t>ем</w:t>
      </w:r>
      <w:r w:rsidR="009A15DA" w:rsidRPr="00997A91">
        <w:rPr>
          <w:szCs w:val="28"/>
        </w:rPr>
        <w:t xml:space="preserve"> Избирательной комиссии </w:t>
      </w:r>
      <w:r w:rsidR="00B31B21" w:rsidRPr="00997A91">
        <w:rPr>
          <w:szCs w:val="28"/>
        </w:rPr>
        <w:t xml:space="preserve">Белгородской области </w:t>
      </w:r>
      <w:r w:rsidR="009A15DA" w:rsidRPr="00997A91">
        <w:rPr>
          <w:szCs w:val="28"/>
        </w:rPr>
        <w:t>от 20 декабря 2022 года № 32/3</w:t>
      </w:r>
      <w:r w:rsidR="003E0B79">
        <w:rPr>
          <w:szCs w:val="28"/>
        </w:rPr>
        <w:t>39</w:t>
      </w:r>
      <w:r w:rsidR="009A15DA" w:rsidRPr="00997A91">
        <w:rPr>
          <w:szCs w:val="28"/>
        </w:rPr>
        <w:t xml:space="preserve">-7 «О придании статуса юридического лица </w:t>
      </w:r>
      <w:bookmarkStart w:id="1" w:name="_Hlk124342990"/>
      <w:r w:rsidR="003E0B79">
        <w:rPr>
          <w:szCs w:val="28"/>
        </w:rPr>
        <w:t>Старооскольской</w:t>
      </w:r>
      <w:r w:rsidR="009A15DA" w:rsidRPr="00997A91">
        <w:rPr>
          <w:szCs w:val="28"/>
        </w:rPr>
        <w:t xml:space="preserve"> территориальной избирательной комиссии</w:t>
      </w:r>
      <w:bookmarkEnd w:id="1"/>
      <w:r w:rsidR="009A15DA" w:rsidRPr="00997A91">
        <w:rPr>
          <w:szCs w:val="28"/>
        </w:rPr>
        <w:t xml:space="preserve">», </w:t>
      </w:r>
      <w:r w:rsidR="003E0B79">
        <w:rPr>
          <w:szCs w:val="28"/>
        </w:rPr>
        <w:t>Старооскольск</w:t>
      </w:r>
      <w:r w:rsidR="00513089">
        <w:rPr>
          <w:szCs w:val="28"/>
        </w:rPr>
        <w:t>ая</w:t>
      </w:r>
      <w:r w:rsidR="00B31B21" w:rsidRPr="00997A91">
        <w:rPr>
          <w:szCs w:val="28"/>
        </w:rPr>
        <w:t xml:space="preserve"> территориальная избирательная комиссия </w:t>
      </w:r>
      <w:r w:rsidR="009A15DA" w:rsidRPr="00997A91">
        <w:rPr>
          <w:b/>
          <w:szCs w:val="28"/>
        </w:rPr>
        <w:t>постановляет</w:t>
      </w:r>
      <w:r w:rsidR="009A15DA" w:rsidRPr="00997A91">
        <w:rPr>
          <w:szCs w:val="28"/>
        </w:rPr>
        <w:t>:</w:t>
      </w:r>
    </w:p>
    <w:p w14:paraId="3106CC9A" w14:textId="4A08ED38" w:rsidR="009A15DA" w:rsidRDefault="009A15DA" w:rsidP="0085027B">
      <w:pPr>
        <w:pStyle w:val="BodyText22"/>
        <w:ind w:right="0" w:firstLine="709"/>
        <w:rPr>
          <w:szCs w:val="28"/>
        </w:rPr>
      </w:pPr>
      <w:r w:rsidRPr="001A06AF">
        <w:rPr>
          <w:szCs w:val="28"/>
        </w:rPr>
        <w:t xml:space="preserve">1. Утвердить Положение </w:t>
      </w:r>
      <w:r w:rsidR="00B31B21" w:rsidRPr="00B31B21">
        <w:rPr>
          <w:szCs w:val="28"/>
        </w:rPr>
        <w:t xml:space="preserve">об аппарате </w:t>
      </w:r>
      <w:r w:rsidR="00513089" w:rsidRPr="00513089">
        <w:rPr>
          <w:szCs w:val="28"/>
        </w:rPr>
        <w:t>Старооскольской территориальной избирательной комиссии</w:t>
      </w:r>
      <w:r w:rsidR="00B31B21" w:rsidRPr="00B31B21">
        <w:rPr>
          <w:szCs w:val="28"/>
        </w:rPr>
        <w:t xml:space="preserve"> </w:t>
      </w:r>
      <w:r w:rsidRPr="001A06AF">
        <w:rPr>
          <w:szCs w:val="28"/>
        </w:rPr>
        <w:t>(прилагается).</w:t>
      </w:r>
    </w:p>
    <w:p w14:paraId="38E9E7E9" w14:textId="3AB6F778" w:rsidR="00F5713C" w:rsidRPr="00F5713C" w:rsidRDefault="00F5713C" w:rsidP="00F5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57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5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постановление в Избирательную комиссию Белгородской области.</w:t>
      </w:r>
    </w:p>
    <w:p w14:paraId="0072B016" w14:textId="7C7F4BB2" w:rsidR="00F5713C" w:rsidRPr="00F5713C" w:rsidRDefault="00F5713C" w:rsidP="00F5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7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странице Старооскольской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14:paraId="4AD9F8AF" w14:textId="605D8EFF" w:rsidR="00F5713C" w:rsidRPr="00F5713C" w:rsidRDefault="00F5713C" w:rsidP="00F57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председателя Старооскольской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5713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Резниченко.</w:t>
      </w:r>
    </w:p>
    <w:p w14:paraId="2726305D" w14:textId="77777777" w:rsidR="00F5713C" w:rsidRPr="00F5713C" w:rsidRDefault="00F5713C" w:rsidP="00F57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A161B" w14:textId="77777777" w:rsidR="00F5713C" w:rsidRPr="00F5713C" w:rsidRDefault="00F5713C" w:rsidP="00F57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243349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713C" w:rsidRPr="00F5713C" w14:paraId="5808349E" w14:textId="77777777" w:rsidTr="00F413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EFE19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6DF6DB52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Старооскольской территориальной</w:t>
            </w:r>
          </w:p>
          <w:p w14:paraId="3248DB9D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  <w:p w14:paraId="301DF592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AC39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4C75B370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14:paraId="5A71BA62" w14:textId="77777777" w:rsidR="00F5713C" w:rsidRPr="00F5713C" w:rsidRDefault="00F5713C" w:rsidP="00F5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</w:t>
            </w:r>
            <w:r w:rsidRPr="00F5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Резниченко</w:t>
            </w:r>
          </w:p>
        </w:tc>
      </w:tr>
      <w:bookmarkEnd w:id="2"/>
      <w:tr w:rsidR="00F5713C" w:rsidRPr="00F5713C" w14:paraId="76763296" w14:textId="77777777" w:rsidTr="00F413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6445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  <w:p w14:paraId="5B2E80DC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Старооскольской территориальной</w:t>
            </w:r>
          </w:p>
          <w:p w14:paraId="221250F0" w14:textId="77777777" w:rsidR="00F5713C" w:rsidRPr="00F5713C" w:rsidRDefault="00F5713C" w:rsidP="00F5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D8EF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0A292F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3DABA2E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Е.Д. Карченкова</w:t>
            </w:r>
          </w:p>
          <w:p w14:paraId="692542D6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81FA8F" w14:textId="77777777" w:rsidR="00F5713C" w:rsidRPr="00F5713C" w:rsidRDefault="00F5713C" w:rsidP="00F5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D4B8AD9" w14:textId="69C12AC8" w:rsidR="005822A7" w:rsidRPr="00F5713C" w:rsidRDefault="005822A7" w:rsidP="00F5713C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822A7" w:rsidRPr="00F5713C" w:rsidSect="0085027B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26E33379" w14:textId="77777777" w:rsidR="000B5EF0" w:rsidRPr="000B5EF0" w:rsidRDefault="000B5EF0" w:rsidP="000B5E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5E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УТВЕРЖДЕНО</w:t>
      </w:r>
    </w:p>
    <w:p w14:paraId="753A741B" w14:textId="77777777" w:rsidR="000B5EF0" w:rsidRPr="000B5EF0" w:rsidRDefault="000B5EF0" w:rsidP="000B5E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5E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постановлением Старооскольской территориальной избирательной комиссии</w:t>
      </w:r>
    </w:p>
    <w:p w14:paraId="5E853721" w14:textId="77777777" w:rsidR="000B5EF0" w:rsidRPr="000B5EF0" w:rsidRDefault="000B5EF0" w:rsidP="000B5E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5E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10 января 2023 года № 44/370-1</w:t>
      </w:r>
    </w:p>
    <w:p w14:paraId="2B27B4B2" w14:textId="77777777" w:rsidR="003D1C81" w:rsidRDefault="003D1C81" w:rsidP="005C61F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FE9037" w14:textId="5C45755C" w:rsidR="005C61F7" w:rsidRDefault="00072A94" w:rsidP="005C61F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57DF480" w14:textId="6B9FB85D" w:rsidR="005822A7" w:rsidRDefault="00072A94" w:rsidP="005C61F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аппарате </w:t>
      </w:r>
      <w:r w:rsidR="000B5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Старооскольской</w:t>
      </w:r>
      <w:r w:rsidR="00E8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</w:t>
      </w:r>
    </w:p>
    <w:p w14:paraId="71B772C7" w14:textId="1C198561" w:rsidR="005C61F7" w:rsidRPr="005C61F7" w:rsidRDefault="00E829B6" w:rsidP="005C61F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  <w:r w:rsidR="005C61F7" w:rsidRPr="005C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C61F7" w:rsidRPr="005C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5BB2425" w14:textId="77777777" w:rsidR="005C61F7" w:rsidRPr="005C61F7" w:rsidRDefault="005C61F7" w:rsidP="005C61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98E74" w14:textId="44FFFBE4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Аппарат 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Старооскольской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(далее - 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ппарат) 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правовое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информационно-аналитическ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</w:t>
      </w:r>
      <w:r w:rsidR="00EA6EC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документационн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и иное обеспечение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Старооскольской территориальной избирательной комиссии (далее - Комиссии)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8C766" w14:textId="08527D99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Работниками аппарата являются граждане Российской Федерации, осуществляющие профессиональную служебную деятельность на должностях, не </w:t>
      </w:r>
      <w:r w:rsidR="00072A94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должностями государственной гражданской службы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области, по обеспечению полномочий Комиссии. </w:t>
      </w:r>
      <w:r w:rsidR="00072A94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64B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аппарата могут замещать должности государственной гражданской службы Белгородской области, если иное не установлено законами и иными нормативными правовыми актами Белгородской области. </w:t>
      </w:r>
    </w:p>
    <w:p w14:paraId="3BD93D0C" w14:textId="0E3004D6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Права и обязанности работников аппарата определяются действующим законодательством, регулирующим порядок и условия </w:t>
      </w:r>
      <w:r w:rsidR="00DB64B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 работников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A94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трудовыми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 должностными инструкциями</w:t>
      </w:r>
      <w:r w:rsidR="00EB080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581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 виды денежного содержания, уровень социального обеспечения, а также условия труда работников аппарата Комиссии определяются федеральными законами, нормативными правовыми актами Российской Федерации, законами Белгородской области и нормативными правовыми актами Белгородской области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Избирательной комиссии Белгородской области и Старооскольской территориальной избирательной комиссии</w:t>
      </w:r>
      <w:r w:rsidR="00A42581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6DF75" w14:textId="6848AFA4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Правовую основу деятельности аппарата составляют: </w:t>
      </w:r>
      <w:hyperlink r:id="rId11" w:history="1">
        <w:r w:rsidRPr="00A55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федеральные конституционные законы, иные федеральные законы, указы и распоряжения Президента Российской Федерации, постановления и распоряжения Правительства Российской Федерации, постановления, инструкции, распоряжения и другие правовые акты Центральной избирательной комиссии Российской Федерации, </w:t>
      </w:r>
      <w:hyperlink r:id="rId12" w:history="1">
        <w:r w:rsidRPr="00A551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 Белгородской области</w:t>
        </w:r>
      </w:hyperlink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законы Белгородской области, постановления Белгородской областной Думы, </w:t>
      </w:r>
      <w:r w:rsidR="00E829B6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 Губернатора Белгородской области, постановления и распоряжения Правительства Белгородской области, Регламент и постановления Избирательной комиссии Белгородской области, Регламент и постановления Комиссии, распоряжения председателя Комиссии, настоящее Положение.</w:t>
      </w:r>
    </w:p>
    <w:p w14:paraId="413A8FF1" w14:textId="56D463B9" w:rsidR="00C62DEB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B5E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ш</w:t>
      </w:r>
      <w:r w:rsidR="00C62D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татное расписание и положение об аппарате Комиссии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472A" w:rsidRP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72A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72A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72A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постановлениями Комиссии.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D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увольнение работников аппарата осуществляет председатель Комиссии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распоряжением</w:t>
      </w:r>
      <w:r w:rsidR="00C62D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28780" w14:textId="19DE4C4E" w:rsidR="0031472A" w:rsidRPr="00A551F5" w:rsidRDefault="0031472A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Руководство деятельностью аппарата осуществляет председатель Комиссии.</w:t>
      </w:r>
    </w:p>
    <w:p w14:paraId="2A3DFEB4" w14:textId="3AEAA54E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</w:t>
      </w:r>
      <w:r w:rsidR="00EB080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своих функций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</w:t>
      </w:r>
      <w:r w:rsidR="00EB080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B080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Белгородской области, т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ерриториальными органами федеральных органов исполнительной власти, иными государственными органами, судом, органами местного самоуправления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Старооскольского городского округа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органы местного самоуправления), </w:t>
      </w:r>
      <w:r w:rsidR="00EB080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Избирательной комиссии Белгородской области,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участковыми избирательными комиссиями (далее - избирательные комиссии), комиссиями референдума, региональными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местными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отделениями политических партий, общественными объединениями, организациями, средствами массовой информации, иными участниками избирательного процесса и референдума.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760F6FD" w14:textId="341CAC31" w:rsidR="005C61F7" w:rsidRPr="00A551F5" w:rsidRDefault="005C61F7" w:rsidP="005C61F7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B0803" w:rsidRPr="00A5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функции аппарата Комиссии</w:t>
      </w:r>
    </w:p>
    <w:p w14:paraId="4DF01935" w14:textId="77777777" w:rsidR="005C61F7" w:rsidRPr="00A551F5" w:rsidRDefault="005C61F7" w:rsidP="005C61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00BCF" w14:textId="0B867992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Основная задача аппарата - создание условий для обеспечения эффективной работы Комиссии по исполнению ею полномочий, предусмотренных федеральными законами, Уставом и законами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4D48E0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Старооскольского городского округа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Белгородской области</w:t>
      </w:r>
      <w:r w:rsidR="00740F83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Комиссии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543463" w14:textId="0681FEF6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решения задачи аппарат осуществляет следующие функции:</w:t>
      </w:r>
    </w:p>
    <w:p w14:paraId="6BFE1A69" w14:textId="4C205A3C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Обеспечение деятельности Комиссии по реализации полномочий в соответствии с федеральным и областным избирательным законодательством при проведении выборов Президента Российской Федерации, депутатов Государственной Думы Федерального Собрания Российской Федерации, Губернатора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депутатов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областной Думы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D1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Старооскольского городского округа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проведении референдумов</w:t>
      </w:r>
      <w:r w:rsidR="00B8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0B7" w:rsidRPr="00B8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 прямого волеизъявления граждан на территории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Старооскольского</w:t>
      </w:r>
      <w:r w:rsidR="00B850B7" w:rsidRPr="00B8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2D18AB" w14:textId="58FC5F8B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Организационно-правовое, информационно-аналитическое, финансовое, материально-техническое, документационное обеспечение подготовки и проведения заседаний </w:t>
      </w:r>
      <w:r w:rsidR="00DD1D1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участие в разработке проектов постановлений Комиссии и иных документов, обеспечивающих ее деятельность в соответствии с планами работы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CDDDE8" w14:textId="6F58DDF4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Участие в установленном порядке в заседаниях Комиссии, нижестоящих избирательных комиссий, комиссий референдума, а также в заседаниях и совещаниях, проводимых органами государственной власти, иными государственными органами, органами местного самоуправления, учреждениями и организациями по вопросам подготовки и проведения выборов, референдумов на территории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Старооскольского городского округа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C0D2AB" w14:textId="708EA6FA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Обеспечение реализации полномочий Комиссии по осуществлению контроля за соблюдением избирательных прав и права на участие в референдуме граждан Российской Федерации, проживающих на территории </w:t>
      </w:r>
      <w:r w:rsidR="003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Старооскольского городского округа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всех стадиях подготовки и проведения выборов в федеральные органы государственной власти и органы государственной власти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выборов в органы местного самоуправления, референдуме Российской Федерации, референдуме </w:t>
      </w:r>
      <w:r w:rsidR="00D47FB7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местных референдумах.</w:t>
      </w:r>
    </w:p>
    <w:p w14:paraId="731E7194" w14:textId="70F3858A" w:rsidR="00F961CF" w:rsidRPr="00A551F5" w:rsidRDefault="00F961CF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Формирование составов участковых избирательных комиссий и их резерва, поддержание в актуальном состоянии базы данных составов участковых избирательных комиссий и их резерва.</w:t>
      </w:r>
    </w:p>
    <w:p w14:paraId="6A7C7709" w14:textId="2A5A6EE2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разработке перспективных, текущих, календарных планов работы Комиссии.</w:t>
      </w:r>
    </w:p>
    <w:p w14:paraId="3DEC99F0" w14:textId="7EF47A74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подготовке в соответствии с планами работы Комиссии и в установленном порядке проектов разъяснений, рекомендаций, методических материалов, иных документов по вопросам применения федерального и </w:t>
      </w:r>
      <w:r w:rsidR="00DD1D1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законодательства, обращений и заявлений, решений, принимаемых Комиссией.</w:t>
      </w:r>
    </w:p>
    <w:p w14:paraId="0AA45B1E" w14:textId="2A7BBCB8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в установленном законом порядке интересов Комиссии в суде.</w:t>
      </w:r>
    </w:p>
    <w:p w14:paraId="23C1E423" w14:textId="6F611F4F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реализации законодательства по противодействию коррупции.</w:t>
      </w:r>
    </w:p>
    <w:p w14:paraId="4FF643A7" w14:textId="4EDF0114" w:rsidR="00D47FB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деятельности Комиссии по оказанию организационной, правовой, информационной, методической и иной помощи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комиссиям, комиссиям референдума.</w:t>
      </w:r>
    </w:p>
    <w:p w14:paraId="6500335A" w14:textId="7BB49C30" w:rsidR="00D51951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по поручениям руководства Комиссии проектов ответов на обращения граждан по вопросам применения законодательства о выборах и референдумах.</w:t>
      </w:r>
    </w:p>
    <w:p w14:paraId="00F612A4" w14:textId="429F5DAA" w:rsidR="00BF63B6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контроля исполнения решений Комиссии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избирательными комиссиями, комиссиями референдума, кандидатами, зарегистрированными кандидатами, избирательными объединениями, общественными объединениями, инициативными группами, иными группами участников референдума, избирателями, участниками референдума, должностными лицами, органами местного самоуправления.</w:t>
      </w:r>
    </w:p>
    <w:p w14:paraId="1B8449F6" w14:textId="68B8C3C2" w:rsidR="00BF63B6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и использование необходимых для деятельности Комиссии информационных материалов, в том числе анализ публикаций, размещенных в печатных, электронных и сетевых средствах массовой информации по вопросам реализации избирательных прав граждан Российской Федерации и совершенствования избирательной системы.</w:t>
      </w:r>
    </w:p>
    <w:p w14:paraId="2478B103" w14:textId="718DA4A2" w:rsidR="00BF63B6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реализации решений Комиссии по организации государственной системы регистрации (учета) избирателей, участников референдума, формированию и ведению регистра избирателей, участников референдума в </w:t>
      </w:r>
      <w:r w:rsidR="00BF63B6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BF63B6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Старооскольского городского округа</w:t>
      </w:r>
      <w:r w:rsidR="00BF63B6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средств автоматизации ГАС </w:t>
      </w:r>
      <w:r w:rsidR="007B0B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</w:t>
      </w:r>
      <w:r w:rsidR="007B0B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1315F" w14:textId="7040AE04" w:rsidR="00BF63B6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наполнение сайта </w:t>
      </w:r>
      <w:r w:rsidR="007B0B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(страницы)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r w:rsidR="00BF63B6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комиссией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EB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63B6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порядке</w:t>
      </w:r>
      <w:r w:rsidR="00B9229A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работа в социальных сетях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74CF8F" w14:textId="7DE83C73" w:rsidR="00BF63B6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F961CF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обеспечении деятельности Комиссии по повышению профессиональной переподготовки, повышении квалификации членов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комиссий, комиссий референдума и других организаторов выборов, референдумов, резерва составов участковых избирательных комиссий и правовому просвещению избирателей, участников референдума.</w:t>
      </w:r>
    </w:p>
    <w:p w14:paraId="7F88D668" w14:textId="39DD93D5" w:rsidR="007678CD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мер финансового обеспечения выборов и референдумов, деятельности Комиссии,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комиссий, осуществление отчетности Комиссии в соответствии с действующим законодательством.</w:t>
      </w:r>
    </w:p>
    <w:p w14:paraId="57B75BEF" w14:textId="0EE809D3" w:rsidR="007678CD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в установленном порядке контроля за источниками поступления, правильным учетом и использованием денежных средств избирательных фондов, фондов референдумов</w:t>
      </w:r>
      <w:r w:rsidR="007678CD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финансовых отчетов кандидатов, избирательных объединений, инициативных групп, иных групп участников референдума.</w:t>
      </w:r>
    </w:p>
    <w:p w14:paraId="060F1575" w14:textId="79AD9C7B" w:rsidR="007678CD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678CD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организационно-правового, информационно-аналитического, методического, документационного и материально-технического обеспечения деятельности Контрольно-ревизионной службы, Рабочей группы по информационным спорам и иным вопросам информационного обеспечения выборов</w:t>
      </w:r>
      <w:r w:rsidR="007678CD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рабочих групп Комиссии.</w:t>
      </w:r>
    </w:p>
    <w:p w14:paraId="04C89D97" w14:textId="3C64CDCC" w:rsidR="007678CD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мероприятий, направленных на обеспечение государственных нужд Комиссии посредством комплексной реализации взаимосвязанных этапов прогнозирования, планирования и осуществления закупок.</w:t>
      </w:r>
    </w:p>
    <w:p w14:paraId="3EA4A85F" w14:textId="340F6D14" w:rsidR="007678CD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678CD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 установленном порядке заявлений и жалоб, иных обращений, подготовка проектов соответствующих решений и ответов по ним.</w:t>
      </w:r>
    </w:p>
    <w:p w14:paraId="69F1E77B" w14:textId="5602B53F" w:rsidR="00331F28" w:rsidRPr="00A551F5" w:rsidRDefault="00331F28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2.2.22. Учет, упорядочение, сохранность и использование архивного фонда документов Комиссии, подготовка и передача в архив документов постоянного срока хранения.</w:t>
      </w:r>
    </w:p>
    <w:p w14:paraId="582CDA84" w14:textId="047D1D16" w:rsidR="0085027B" w:rsidRPr="00EE773E" w:rsidRDefault="005C61F7" w:rsidP="00EE7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678CD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в соответствии с действующим законодательством, решениями, принятыми Комиссией.</w:t>
      </w:r>
    </w:p>
    <w:p w14:paraId="4BC7D8E3" w14:textId="77777777" w:rsidR="0085027B" w:rsidRDefault="0085027B" w:rsidP="007678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7F15BF" w14:textId="5EBE7373" w:rsidR="005C61F7" w:rsidRPr="00A551F5" w:rsidRDefault="005C61F7" w:rsidP="007678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31F28" w:rsidRPr="00A5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аппарата Комиссии</w:t>
      </w:r>
    </w:p>
    <w:p w14:paraId="7771E6F9" w14:textId="77777777" w:rsidR="005C61F7" w:rsidRPr="00A551F5" w:rsidRDefault="005C61F7" w:rsidP="005C61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C81B" w14:textId="4ED18C24" w:rsidR="00F94329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работы аппарата осуществляется в соответствии с Регламентом </w:t>
      </w:r>
      <w:r w:rsidR="007678CD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Служебным распорядком аппарата Комиссии, должностными инструкциями, трудовыми договорами.</w:t>
      </w:r>
    </w:p>
    <w:p w14:paraId="55D283C8" w14:textId="163081A8" w:rsidR="005C61F7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Общее руководство аппаратом </w:t>
      </w:r>
      <w:r w:rsidR="00F94329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председатель Комиссии. 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аппарата по выполнению его функций возлагается на з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соответствии с полномочиями, закрепленными в Регламенте Комиссии. </w:t>
      </w:r>
    </w:p>
    <w:p w14:paraId="6FEC6FE6" w14:textId="295B92FC" w:rsidR="00F94329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</w:t>
      </w:r>
      <w:r w:rsidR="00331F28"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ппарата 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свои функции в соответствии с настоящим Положением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52393" w14:textId="010677F1" w:rsidR="00D3661D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работникам аппарата Комиссии устанавливаются в соответствующих должностных инструкциях.</w:t>
      </w:r>
    </w:p>
    <w:p w14:paraId="34BEE056" w14:textId="1A000039" w:rsidR="004D48E0" w:rsidRPr="00A551F5" w:rsidRDefault="005C61F7" w:rsidP="008502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77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3" w:name="_GoBack"/>
      <w:bookmarkEnd w:id="3"/>
      <w:r w:rsidRPr="00A55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аппарата Комиссии организуют свою деятельность в соответствии с планами работы Комиссии, должностными инструкциями, несут ответственность за качественное и своевременное выполнение возложенных на них обязанностей.</w:t>
      </w:r>
    </w:p>
    <w:sectPr w:rsidR="004D48E0" w:rsidRPr="00A551F5" w:rsidSect="00582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E150" w14:textId="77777777" w:rsidR="00FD05A4" w:rsidRDefault="00FD05A4" w:rsidP="005822A7">
      <w:pPr>
        <w:spacing w:after="0" w:line="240" w:lineRule="auto"/>
      </w:pPr>
      <w:r>
        <w:separator/>
      </w:r>
    </w:p>
  </w:endnote>
  <w:endnote w:type="continuationSeparator" w:id="0">
    <w:p w14:paraId="4B2C752B" w14:textId="77777777" w:rsidR="00FD05A4" w:rsidRDefault="00FD05A4" w:rsidP="0058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0222" w14:textId="77777777" w:rsidR="00FD05A4" w:rsidRDefault="00FD05A4" w:rsidP="005822A7">
      <w:pPr>
        <w:spacing w:after="0" w:line="240" w:lineRule="auto"/>
      </w:pPr>
      <w:r>
        <w:separator/>
      </w:r>
    </w:p>
  </w:footnote>
  <w:footnote w:type="continuationSeparator" w:id="0">
    <w:p w14:paraId="761EE39A" w14:textId="77777777" w:rsidR="00FD05A4" w:rsidRDefault="00FD05A4" w:rsidP="0058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9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30C2316" w14:textId="439D9BCA" w:rsidR="005822A7" w:rsidRPr="005822A7" w:rsidRDefault="005822A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22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22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22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A3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822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CAF095" w14:textId="77777777" w:rsidR="005822A7" w:rsidRDefault="00582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BFA"/>
    <w:multiLevelType w:val="hybridMultilevel"/>
    <w:tmpl w:val="EA6A846C"/>
    <w:lvl w:ilvl="0" w:tplc="BF0CC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AC6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6E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4B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E2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27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9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09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27D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4"/>
    <w:rsid w:val="00016AC5"/>
    <w:rsid w:val="0002421C"/>
    <w:rsid w:val="00072A94"/>
    <w:rsid w:val="000B5EF0"/>
    <w:rsid w:val="000E558C"/>
    <w:rsid w:val="000F5FEC"/>
    <w:rsid w:val="00260A34"/>
    <w:rsid w:val="00266342"/>
    <w:rsid w:val="002E53B3"/>
    <w:rsid w:val="0031472A"/>
    <w:rsid w:val="00331F28"/>
    <w:rsid w:val="00384831"/>
    <w:rsid w:val="003D1C81"/>
    <w:rsid w:val="003E0B79"/>
    <w:rsid w:val="00431904"/>
    <w:rsid w:val="004738F9"/>
    <w:rsid w:val="004D48E0"/>
    <w:rsid w:val="00513089"/>
    <w:rsid w:val="00576FE8"/>
    <w:rsid w:val="005822A7"/>
    <w:rsid w:val="005C61F7"/>
    <w:rsid w:val="00611266"/>
    <w:rsid w:val="0064322B"/>
    <w:rsid w:val="00647B34"/>
    <w:rsid w:val="0067462F"/>
    <w:rsid w:val="00681264"/>
    <w:rsid w:val="00735AE1"/>
    <w:rsid w:val="00740F83"/>
    <w:rsid w:val="007678CD"/>
    <w:rsid w:val="00780E6F"/>
    <w:rsid w:val="007B0BEB"/>
    <w:rsid w:val="0085027B"/>
    <w:rsid w:val="00886BAF"/>
    <w:rsid w:val="00997A91"/>
    <w:rsid w:val="009A15DA"/>
    <w:rsid w:val="00A20751"/>
    <w:rsid w:val="00A42581"/>
    <w:rsid w:val="00A551F5"/>
    <w:rsid w:val="00B31B21"/>
    <w:rsid w:val="00B850B7"/>
    <w:rsid w:val="00B9229A"/>
    <w:rsid w:val="00BE375B"/>
    <w:rsid w:val="00BF63B6"/>
    <w:rsid w:val="00C62DEB"/>
    <w:rsid w:val="00C938F7"/>
    <w:rsid w:val="00D3661D"/>
    <w:rsid w:val="00D47FB7"/>
    <w:rsid w:val="00D51951"/>
    <w:rsid w:val="00D55E8B"/>
    <w:rsid w:val="00DB64B3"/>
    <w:rsid w:val="00DC3211"/>
    <w:rsid w:val="00DD1D1F"/>
    <w:rsid w:val="00DF2FC7"/>
    <w:rsid w:val="00E046C2"/>
    <w:rsid w:val="00E139FD"/>
    <w:rsid w:val="00E829B6"/>
    <w:rsid w:val="00EA6EC3"/>
    <w:rsid w:val="00EB0803"/>
    <w:rsid w:val="00EE773E"/>
    <w:rsid w:val="00F5713C"/>
    <w:rsid w:val="00F66CD4"/>
    <w:rsid w:val="00F94329"/>
    <w:rsid w:val="00F961CF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062D1"/>
  <w15:docId w15:val="{A72F98B6-9545-4E3F-A686-3815949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9A15DA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9A15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2A7"/>
  </w:style>
  <w:style w:type="paragraph" w:styleId="a5">
    <w:name w:val="footer"/>
    <w:basedOn w:val="a"/>
    <w:link w:val="a6"/>
    <w:uiPriority w:val="99"/>
    <w:unhideWhenUsed/>
    <w:rsid w:val="0058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A7"/>
  </w:style>
  <w:style w:type="paragraph" w:styleId="a7">
    <w:name w:val="Balloon Text"/>
    <w:basedOn w:val="a"/>
    <w:link w:val="a8"/>
    <w:uiPriority w:val="99"/>
    <w:semiHidden/>
    <w:unhideWhenUsed/>
    <w:rsid w:val="0026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8952802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3762-94D8-4A87-878B-C7D71802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Сиротенко</dc:creator>
  <cp:keywords/>
  <dc:description/>
  <cp:lastModifiedBy>User</cp:lastModifiedBy>
  <cp:revision>5</cp:revision>
  <dcterms:created xsi:type="dcterms:W3CDTF">2023-01-11T12:25:00Z</dcterms:created>
  <dcterms:modified xsi:type="dcterms:W3CDTF">2023-01-11T12:56:00Z</dcterms:modified>
</cp:coreProperties>
</file>